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Arial" w:cs="Arial" w:eastAsia="Arial" w:hAnsi="Arial"/>
          <w:b/>
          <w:bCs/>
          <w:color w:val="595959"/>
          <w:spacing w:val="60"/>
          <w:sz w:val="16"/>
          <w:szCs w:val="16"/>
        </w:rPr>
        <w:t xml:space="preserve">VERDAL GROUP</w:t>
      </w:r>
    </w:p>
    <w:p>
      <w:pPr>
        <w:pBdr>
          <w:bottom w:val="single" w:color="1F3864" w:sz="12" w:space="6"/>
        </w:pBdr>
        <w:spacing w:after="40"/>
      </w:pPr>
      <w:r>
        <w:rPr>
          <w:rFonts w:ascii="Georgia" w:cs="Georgia" w:eastAsia="Georgia" w:hAnsi="Georgia"/>
          <w:b/>
          <w:bCs/>
          <w:color w:val="1F3864"/>
          <w:sz w:val="36"/>
          <w:szCs w:val="36"/>
        </w:rPr>
        <w:t xml:space="preserve">EV charging: strategic options</w:t>
      </w:r>
    </w:p>
    <w:p>
      <w:pPr>
        <w:spacing w:after="20" w:before="140"/>
      </w:pPr>
      <w:r>
        <w:rPr>
          <w:rFonts w:ascii="Georgia" w:cs="Georgia" w:eastAsia="Georgia" w:hAnsi="Georgia"/>
          <w:b/>
          <w:bCs/>
          <w:color w:val="C00000"/>
          <w:sz w:val="24"/>
          <w:szCs w:val="24"/>
        </w:rPr>
        <w:t xml:space="preserve">Kick-off briefing note</w:t>
      </w:r>
    </w:p>
    <w:p>
      <w:pPr>
        <w:spacing w:after="300"/>
      </w:pPr>
      <w:r>
        <w:rPr>
          <w:rFonts w:ascii="Arial" w:cs="Arial" w:eastAsia="Arial" w:hAnsi="Arial"/>
          <w:color w:val="595959"/>
          <w:sz w:val="17"/>
          <w:szCs w:val="17"/>
        </w:rPr>
        <w:t xml:space="preserve">Mandate VG-STRAT-2026-07  ·  circulated 29 July 2026, for the kick-off meeting of 4 August 2026  ·  Prepared for Katrin Sommer, VP Strategy, and the Board</w:t>
      </w:r>
    </w:p>
    <w:p>
      <w:pPr>
        <w:pBdr>
          <w:bottom w:val="single" w:color="1F3864" w:sz="8" w:space="6"/>
        </w:pBdr>
        <w:spacing w:after="120" w:before="360"/>
      </w:pPr>
      <w:r>
        <w:rPr>
          <w:rFonts w:ascii="Georgia" w:cs="Georgia" w:eastAsia="Georgia" w:hAnsi="Georgia"/>
          <w:b/>
          <w:bCs/>
          <w:color w:val="1F3864"/>
          <w:sz w:val="26"/>
          <w:szCs w:val="26"/>
        </w:rPr>
        <w:t xml:space="preserve">Why this note</w:t>
      </w:r>
    </w:p>
    <w:p>
      <w:pPr>
        <w:spacing w:after="140"/>
        <w:jc w:val="both"/>
      </w:pPr>
      <w:r>
        <w:rPr>
          <w:rFonts w:ascii="Arial" w:cs="Arial" w:eastAsia="Arial" w:hAnsi="Arial"/>
          <w:b/>
          <w:bCs/>
          <w:sz w:val="19"/>
          <w:szCs w:val="19"/>
        </w:rPr>
        <w:t xml:space="preserve">This note is the pre-read for the kick-off, </w:t>
      </w:r>
      <w:r>
        <w:rPr>
          <w:rFonts w:ascii="Arial" w:cs="Arial" w:eastAsia="Arial" w:hAnsi="Arial"/>
          <w:sz w:val="19"/>
          <w:szCs w:val="19"/>
        </w:rPr>
        <w:t xml:space="preserve">and it exists so that the hour on 4 August is spent on decisions rather than on orientation. It restates what Verdal has asked, sets out how each question will be answered, names what the engagement can and cannot establish, and lists what we need from Verdal and by when.</w:t>
      </w:r>
    </w:p>
    <w:p>
      <w:pPr>
        <w:spacing w:after="140"/>
        <w:jc w:val="both"/>
      </w:pPr>
      <w:r>
        <w:rPr>
          <w:rFonts w:ascii="Arial" w:cs="Arial" w:eastAsia="Arial" w:hAnsi="Arial"/>
          <w:b/>
          <w:bCs/>
          <w:sz w:val="19"/>
          <w:szCs w:val="19"/>
        </w:rPr>
        <w:t xml:space="preserve">Three things are asked of the meeting itself. </w:t>
      </w:r>
      <w:r>
        <w:rPr>
          <w:rFonts w:ascii="Arial" w:cs="Arial" w:eastAsia="Arial" w:hAnsi="Arial"/>
          <w:sz w:val="19"/>
          <w:szCs w:val="19"/>
        </w:rPr>
        <w:t xml:space="preserve">Confirmation of the six countries in scope; the source citation behind the Board's €25bn figure; and agreement on the six data items that block analysis. Everything else in this note is for information.</w:t>
      </w:r>
    </w:p>
    <w:p>
      <w:pPr>
        <w:spacing w:after="140"/>
        <w:jc w:val="both"/>
      </w:pPr>
      <w:r>
        <w:rPr>
          <w:rFonts w:ascii="Arial" w:cs="Arial" w:eastAsia="Arial" w:hAnsi="Arial"/>
          <w:b/>
          <w:bCs/>
          <w:sz w:val="19"/>
          <w:szCs w:val="19"/>
        </w:rPr>
        <w:t xml:space="preserve">One point of method is worth stating at the outset. </w:t>
      </w:r>
      <w:r>
        <w:rPr>
          <w:rFonts w:ascii="Arial" w:cs="Arial" w:eastAsia="Arial" w:hAnsi="Arial"/>
          <w:sz w:val="19"/>
          <w:szCs w:val="19"/>
        </w:rPr>
        <w:t xml:space="preserve">Verdal's RfP says that quality of reasoning and transparency of assumptions will weigh more than volume of output, and that Verdal will favour advisers who say where the data is weak. This note is written to that standard, which means it is explicit about the limits of what will be knowable by 30 September. Those limits are named here rather than discovered in the final week.</w:t>
      </w:r>
    </w:p>
    <w:p>
      <w:pPr>
        <w:pBdr>
          <w:bottom w:val="single" w:color="1F3864" w:sz="8" w:space="6"/>
        </w:pBdr>
        <w:spacing w:after="120" w:before="360"/>
      </w:pPr>
      <w:r>
        <w:rPr>
          <w:rFonts w:ascii="Georgia" w:cs="Georgia" w:eastAsia="Georgia" w:hAnsi="Georgia"/>
          <w:b/>
          <w:bCs/>
          <w:color w:val="1F3864"/>
          <w:sz w:val="26"/>
          <w:szCs w:val="26"/>
        </w:rPr>
        <w:t xml:space="preserve">What is being answered</w:t>
      </w:r>
    </w:p>
    <w:p>
      <w:pPr>
        <w:spacing w:after="140"/>
        <w:jc w:val="both"/>
      </w:pPr>
      <w:r>
        <w:rPr>
          <w:rFonts w:ascii="Arial" w:cs="Arial" w:eastAsia="Arial" w:hAnsi="Arial"/>
          <w:b/>
          <w:bCs/>
          <w:sz w:val="19"/>
          <w:szCs w:val="19"/>
        </w:rPr>
        <w:t xml:space="preserve">The mandate resolves to one decision and six questions. </w:t>
      </w:r>
      <w:r>
        <w:rPr>
          <w:rFonts w:ascii="Arial" w:cs="Arial" w:eastAsia="Arial" w:hAnsi="Arial"/>
          <w:sz w:val="19"/>
          <w:szCs w:val="19"/>
        </w:rPr>
        <w:t xml:space="preserve">The decision is whether Verdal should operate charging itself instead of leasing its bays — and if so, where, at what power level, and by which route. The six work packages are the questions that decision breaks into.</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700"/>
        <w:gridCol w:w="3300"/>
        <w:gridCol w:w="3200"/>
        <w:gridCol w:w="1900"/>
      </w:tblGrid>
      <w:tr>
        <w:trPr>
          <w:tblHeader/>
        </w:trPr>
        <w:tc>
          <w:tcPr>
            <w:tcW w:type="dxa" w:w="7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WP</w:t>
            </w:r>
          </w:p>
        </w:tc>
        <w:tc>
          <w:tcPr>
            <w:tcW w:type="dxa" w:w="33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Question</w:t>
            </w:r>
          </w:p>
        </w:tc>
        <w:tc>
          <w:tcPr>
            <w:tcW w:type="dxa" w:w="32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How it is answered</w:t>
            </w:r>
          </w:p>
        </w:tc>
        <w:tc>
          <w:tcPr>
            <w:tcW w:type="dxa" w:w="19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Runs on</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Size what is genuinely addressable by Verdal, and test the €25bn.</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Perimeter discipline, then a sizing funnel built to Verdal's own level, with every basis visible.</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Public data + one client parameter</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WP2</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Fast, ultra-fast or destination charging — which fits the footprint and the dwell time?</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Arithmetic before strategy: kWh delivered equals power times dwell times acceptance. Then cost each power level, including capacity charges.</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Public data + dwell distribution</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WP3</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Which of the six countries first, and why.</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 two-axis screen — country attractiveness against Verdal's right to win — with each component measured, not scored by impression.</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Public data + lease terms</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WP4</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Who operates today, and what economics do they actually achieve?</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Unit economics reconstructed from public disclosure, with every undisclosed line marked and bounded rather than filled silently.</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Public data only</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WP5</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Build, buy or partner — with candidate profiles and a recommendation.</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Options scored against criteria agreed in advance, then tested against the constraints WP1–WP4 identify as binding.</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Consumes WP1–WP4</w:t>
            </w:r>
          </w:p>
        </w:tc>
      </w:tr>
      <w:tr>
        <w:trPr>
          <w:tblHeader w:val="false"/>
        </w:trPr>
        <w:tc>
          <w:tcPr>
            <w:tcW w:type="dxa" w:w="7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WP6</w:t>
            </w:r>
          </w:p>
        </w:tc>
        <w:tc>
          <w:tcPr>
            <w:tcW w:type="dxa" w:w="3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 100-day plan for the recommended route.</w:t>
            </w:r>
          </w:p>
        </w:tc>
        <w:tc>
          <w:tcPr>
            <w:tcW w:type="dxa" w:w="3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Three horizons and one decision gate, with numeric thresholds fixed before the pilot rather than after it.</w:t>
            </w:r>
          </w:p>
        </w:tc>
        <w:tc>
          <w:tcPr>
            <w:tcW w:type="dxa" w:w="1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Consumes WP5</w:t>
            </w:r>
          </w:p>
        </w:tc>
      </w:tr>
    </w:tbl>
    <w:p>
      <w:pPr>
        <w:spacing w:after="200" w:before="60"/>
      </w:pPr>
      <w:r>
        <w:rPr>
          <w:rFonts w:ascii="Arial" w:cs="Arial" w:eastAsia="Arial" w:hAnsi="Arial"/>
          <w:i/>
          <w:iCs/>
          <w:color w:val="595959"/>
          <w:sz w:val="15"/>
          <w:szCs w:val="15"/>
        </w:rPr>
        <w:t xml:space="preserve">Source: RfP of 15 July 2026, section 4; engagement methodologies 01–06.</w:t>
      </w:r>
    </w:p>
    <w:p>
      <w:pPr>
        <w:spacing w:after="140"/>
        <w:jc w:val="both"/>
      </w:pPr>
      <w:r>
        <w:rPr>
          <w:rFonts w:ascii="Arial" w:cs="Arial" w:eastAsia="Arial" w:hAnsi="Arial"/>
          <w:b/>
          <w:bCs/>
          <w:sz w:val="19"/>
          <w:szCs w:val="19"/>
        </w:rPr>
        <w:t xml:space="preserve">The dependencies matter for scheduling. </w:t>
      </w:r>
      <w:r>
        <w:rPr>
          <w:rFonts w:ascii="Arial" w:cs="Arial" w:eastAsia="Arial" w:hAnsi="Arial"/>
          <w:sz w:val="19"/>
          <w:szCs w:val="19"/>
        </w:rPr>
        <w:t xml:space="preserve">WP1, WP3 and WP4 run on public data and start immediately, in parallel. WP2 needs one Verdal parameter — the dwell distribution — and until it arrives that work proceeds on an explicit, replaceable assumption. WP5 consumes the first four and produces nothing credible before they land. WP6 is written for the recommended route only, and is rewritten rather than edited if the recommendation changes.</w:t>
      </w:r>
    </w:p>
    <w:p>
      <w:pPr>
        <w:pBdr>
          <w:bottom w:val="single" w:color="1F3864" w:sz="8" w:space="6"/>
        </w:pBdr>
        <w:spacing w:after="120" w:before="360"/>
      </w:pPr>
      <w:r>
        <w:rPr>
          <w:rFonts w:ascii="Georgia" w:cs="Georgia" w:eastAsia="Georgia" w:hAnsi="Georgia"/>
          <w:b/>
          <w:bCs/>
          <w:color w:val="1F3864"/>
          <w:sz w:val="26"/>
          <w:szCs w:val="26"/>
        </w:rPr>
        <w:t xml:space="preserve">How the €25bn will be tested</w:t>
      </w:r>
    </w:p>
    <w:p>
      <w:pPr>
        <w:spacing w:after="140"/>
        <w:jc w:val="both"/>
      </w:pPr>
      <w:r>
        <w:rPr>
          <w:rFonts w:ascii="Arial" w:cs="Arial" w:eastAsia="Arial" w:hAnsi="Arial"/>
          <w:b/>
          <w:bCs/>
          <w:sz w:val="19"/>
          <w:szCs w:val="19"/>
        </w:rPr>
        <w:t xml:space="preserve">The figure will be located, not reproduced and not dismissed. </w:t>
      </w:r>
      <w:r>
        <w:rPr>
          <w:rFonts w:ascii="Arial" w:cs="Arial" w:eastAsia="Arial" w:hAnsi="Arial"/>
          <w:sz w:val="19"/>
          <w:szCs w:val="19"/>
        </w:rPr>
        <w:t xml:space="preserve">A number of that magnitude is a real published quantity for a real thing. The question is which thing — and whether that thing is what Verdal would be earning. Charging market figures circulate at four levels that differ by orders of magnitude, and a figure sized at the first level and applied at the fourth overstates the opportunity by a wide margin.</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100"/>
        <w:gridCol w:w="4200"/>
        <w:gridCol w:w="2800"/>
      </w:tblGrid>
      <w:tr>
        <w:trPr>
          <w:tblHeader/>
        </w:trPr>
        <w:tc>
          <w:tcPr>
            <w:tcW w:type="dxa" w:w="21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Level</w:t>
            </w:r>
          </w:p>
        </w:tc>
        <w:tc>
          <w:tcPr>
            <w:tcW w:type="dxa" w:w="42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What it measures</w:t>
            </w:r>
          </w:p>
        </w:tc>
        <w:tc>
          <w:tcPr>
            <w:tcW w:type="dxa" w:w="28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Whose revenue it is</w:t>
            </w:r>
          </w:p>
        </w:tc>
      </w:tr>
      <w:tr>
        <w:trPr>
          <w:tblHeader w:val="false"/>
        </w:trPr>
        <w:tc>
          <w:tcPr>
            <w:tcW w:type="dxa" w:w="21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Infrastructure capex</w:t>
            </w:r>
          </w:p>
        </w:tc>
        <w:tc>
          <w:tcPr>
            <w:tcW w:type="dxa" w:w="4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Hardware, installation and grid connection, across all site types</w:t>
            </w:r>
          </w:p>
        </w:tc>
        <w:tc>
          <w:tcPr>
            <w:tcW w:type="dxa" w:w="2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Equipment makers and installers</w:t>
            </w:r>
          </w:p>
        </w:tc>
      </w:tr>
      <w:tr>
        <w:trPr>
          <w:tblHeader w:val="false"/>
        </w:trPr>
        <w:tc>
          <w:tcPr>
            <w:tcW w:type="dxa" w:w="21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Energy throughput value</w:t>
            </w:r>
          </w:p>
        </w:tc>
        <w:tc>
          <w:tcPr>
            <w:tcW w:type="dxa" w:w="4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total value of electricity delivered through public charge points</w:t>
            </w:r>
          </w:p>
        </w:tc>
        <w:tc>
          <w:tcPr>
            <w:tcW w:type="dxa" w:w="2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Mostly passes through to the energy supplier</w:t>
            </w:r>
          </w:p>
        </w:tc>
      </w:tr>
      <w:tr>
        <w:trPr>
          <w:tblHeader w:val="false"/>
        </w:trPr>
        <w:tc>
          <w:tcPr>
            <w:tcW w:type="dxa" w:w="21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Charge-point operator revenue</w:t>
            </w:r>
          </w:p>
        </w:tc>
        <w:tc>
          <w:tcPr>
            <w:tcW w:type="dxa" w:w="42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What the operator bills, gross</w:t>
            </w:r>
          </w:p>
        </w:tc>
        <w:tc>
          <w:tcPr>
            <w:tcW w:type="dxa" w:w="2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operator</w:t>
            </w:r>
          </w:p>
        </w:tc>
      </w:tr>
      <w:tr>
        <w:trPr>
          <w:tblHeader w:val="false"/>
        </w:trPr>
        <w:tc>
          <w:tcPr>
            <w:tcW w:type="dxa" w:w="2100"/>
            <w:tcMar>
              <w:top w:type="dxa" w:w="80"/>
              <w:left w:type="dxa" w:w="110"/>
              <w:bottom w:type="dxa" w:w="80"/>
              <w:right w:type="dxa" w:w="110"/>
            </w:tcMar>
          </w:tcPr>
          <w:p>
            <w:r>
              <w:rPr>
                <w:rFonts w:ascii="Arial" w:cs="Arial" w:eastAsia="Arial" w:hAnsi="Arial"/>
                <w:b/>
                <w:bCs/>
                <w:i w:val="false"/>
                <w:iCs w:val="false"/>
                <w:color w:val="C00000"/>
                <w:sz w:val="16"/>
                <w:szCs w:val="16"/>
              </w:rPr>
              <w:t xml:space="preserve">Site-host margin</w:t>
            </w:r>
          </w:p>
        </w:tc>
        <w:tc>
          <w:tcPr>
            <w:tcW w:type="dxa" w:w="4200"/>
            <w:tcMar>
              <w:top w:type="dxa" w:w="80"/>
              <w:left w:type="dxa" w:w="110"/>
              <w:bottom w:type="dxa" w:w="80"/>
              <w:right w:type="dxa" w:w="110"/>
            </w:tcMar>
          </w:tcPr>
          <w:p>
            <w:r>
              <w:rPr>
                <w:rFonts w:ascii="Arial" w:cs="Arial" w:eastAsia="Arial" w:hAnsi="Arial"/>
                <w:b/>
                <w:bCs/>
                <w:i w:val="false"/>
                <w:iCs w:val="false"/>
                <w:color w:val="000000"/>
                <w:sz w:val="16"/>
                <w:szCs w:val="16"/>
              </w:rPr>
              <w:t xml:space="preserve">What a landowner earns — a lease fee, a revenue share, or the margin on operating</w:t>
            </w:r>
          </w:p>
        </w:tc>
        <w:tc>
          <w:tcPr>
            <w:tcW w:type="dxa" w:w="2800"/>
            <w:tcMar>
              <w:top w:type="dxa" w:w="80"/>
              <w:left w:type="dxa" w:w="110"/>
              <w:bottom w:type="dxa" w:w="80"/>
              <w:right w:type="dxa" w:w="110"/>
            </w:tcMar>
          </w:tcPr>
          <w:p>
            <w:r>
              <w:rPr>
                <w:rFonts w:ascii="Arial" w:cs="Arial" w:eastAsia="Arial" w:hAnsi="Arial"/>
                <w:b/>
                <w:bCs/>
                <w:i w:val="false"/>
                <w:iCs w:val="false"/>
                <w:color w:val="C00000"/>
                <w:sz w:val="16"/>
                <w:szCs w:val="16"/>
              </w:rPr>
              <w:t xml:space="preserve">This is Verdal's level</w:t>
            </w:r>
          </w:p>
        </w:tc>
      </w:tr>
    </w:tbl>
    <w:p>
      <w:pPr>
        <w:spacing w:after="200" w:before="60"/>
      </w:pPr>
      <w:r>
        <w:rPr>
          <w:rFonts w:ascii="Arial" w:cs="Arial" w:eastAsia="Arial" w:hAnsi="Arial"/>
          <w:i/>
          <w:iCs/>
          <w:color w:val="595959"/>
          <w:sz w:val="15"/>
          <w:szCs w:val="15"/>
        </w:rPr>
        <w:t xml:space="preserve">Source: engagement methodology 01, market sizing and the test of the Board figure.</w:t>
      </w:r>
    </w:p>
    <w:p>
      <w:pPr>
        <w:spacing w:after="140"/>
        <w:jc w:val="both"/>
      </w:pPr>
      <w:r>
        <w:rPr>
          <w:rFonts w:ascii="Arial" w:cs="Arial" w:eastAsia="Arial" w:hAnsi="Arial"/>
          <w:b/>
          <w:bCs/>
          <w:sz w:val="19"/>
          <w:szCs w:val="19"/>
        </w:rPr>
        <w:t xml:space="preserve">The test has three steps and no shortcuts. </w:t>
      </w:r>
      <w:r>
        <w:rPr>
          <w:rFonts w:ascii="Arial" w:cs="Arial" w:eastAsia="Arial" w:hAnsi="Arial"/>
          <w:sz w:val="19"/>
          <w:szCs w:val="19"/>
        </w:rPr>
        <w:t xml:space="preserve">First, reconstruct the figure: find the published constructions that produce a number near €25bn for 2030 and record, for each, exactly what it measures, its geography and its horizon. Second, build the funnel that arrives at Verdal's own level, each step stating its basis and its confidence. Third, put the two on the same exhibit with the perimeter difference made visible.</w:t>
      </w:r>
    </w:p>
    <w:p>
      <w:pPr>
        <w:spacing w:after="140"/>
        <w:jc w:val="both"/>
      </w:pPr>
      <w:r>
        <w:rPr>
          <w:rFonts w:ascii="Arial" w:cs="Arial" w:eastAsia="Arial" w:hAnsi="Arial"/>
          <w:b/>
          <w:bCs/>
          <w:sz w:val="19"/>
          <w:szCs w:val="19"/>
        </w:rPr>
        <w:t xml:space="preserve">One request follows from this, and it is the first item on the data-room list. </w:t>
      </w:r>
      <w:r>
        <w:rPr>
          <w:rFonts w:ascii="Arial" w:cs="Arial" w:eastAsia="Arial" w:hAnsi="Arial"/>
          <w:sz w:val="19"/>
          <w:szCs w:val="19"/>
        </w:rPr>
        <w:t xml:space="preserve">Two independent searches of the published literature have not identified a source that states, in those terms, that the European EV charging market will be worth €25bn by 2030. Three published construction types land in that range and they measure different objects — cumulative build-out capex, the annual energy value at the plug, and equipment-market forecasts whose horizon is not 2030. The Board paper's own citation would settle in one line what otherwise takes a week and ends less conclusively.</w:t>
      </w:r>
    </w:p>
    <w:p>
      <w:pPr>
        <w:spacing w:after="140"/>
        <w:jc w:val="both"/>
      </w:pPr>
      <w:r>
        <w:rPr>
          <w:rFonts w:ascii="Arial" w:cs="Arial" w:eastAsia="Arial" w:hAnsi="Arial"/>
          <w:b/>
          <w:bCs/>
          <w:sz w:val="19"/>
          <w:szCs w:val="19"/>
        </w:rPr>
        <w:t xml:space="preserve">Nothing about the answer is implied by that request. </w:t>
      </w:r>
      <w:r>
        <w:rPr>
          <w:rFonts w:ascii="Arial" w:cs="Arial" w:eastAsia="Arial" w:hAnsi="Arial"/>
          <w:sz w:val="19"/>
          <w:szCs w:val="19"/>
        </w:rPr>
        <w:t xml:space="preserve">The reconstruction has not been completed and no conclusion has been formed. What can be said today is only that the perimeter question is the right one to ask, and that it is the question the analysis is built around.</w:t>
      </w:r>
    </w:p>
    <w:p>
      <w:pPr>
        <w:pBdr>
          <w:bottom w:val="single" w:color="1F3864" w:sz="8" w:space="6"/>
        </w:pBdr>
        <w:spacing w:after="120" w:before="360"/>
      </w:pPr>
      <w:r>
        <w:rPr>
          <w:rFonts w:ascii="Georgia" w:cs="Georgia" w:eastAsia="Georgia" w:hAnsi="Georgia"/>
          <w:b/>
          <w:bCs/>
          <w:color w:val="1F3864"/>
          <w:sz w:val="26"/>
          <w:szCs w:val="26"/>
        </w:rPr>
        <w:t xml:space="preserve">What this engagement can establish — and what it cannot</w:t>
      </w:r>
    </w:p>
    <w:p>
      <w:pPr>
        <w:spacing w:after="140"/>
        <w:jc w:val="both"/>
      </w:pPr>
      <w:r>
        <w:rPr>
          <w:rFonts w:ascii="Arial" w:cs="Arial" w:eastAsia="Arial" w:hAnsi="Arial"/>
          <w:b/>
          <w:bCs/>
          <w:sz w:val="19"/>
          <w:szCs w:val="19"/>
        </w:rPr>
        <w:t xml:space="preserve">Three things cannot be produced inside this mandate, and it is better to say so now. </w:t>
      </w:r>
      <w:r>
        <w:rPr>
          <w:rFonts w:ascii="Arial" w:cs="Arial" w:eastAsia="Arial" w:hAnsi="Arial"/>
          <w:sz w:val="19"/>
          <w:szCs w:val="19"/>
        </w:rPr>
        <w:t xml:space="preserve">Each has a substitute, and the substitute is specified rather than implied.</w:t>
      </w:r>
    </w:p>
    <w:p>
      <w:pPr>
        <w:spacing w:after="90"/>
        <w:ind w:left="340" w:hanging="200"/>
      </w:pPr>
      <w:r>
        <w:rPr>
          <w:rFonts w:ascii="Arial" w:cs="Arial" w:eastAsia="Arial" w:hAnsi="Arial"/>
          <w:b/>
          <w:bCs/>
          <w:color w:val="C00000"/>
          <w:sz w:val="19"/>
          <w:szCs w:val="19"/>
        </w:rPr>
        <w:t xml:space="preserve">— </w:t>
      </w:r>
      <w:r>
        <w:rPr>
          <w:rFonts w:ascii="Arial" w:cs="Arial" w:eastAsia="Arial" w:hAnsi="Arial"/>
          <w:b/>
          <w:bCs/>
          <w:sz w:val="19"/>
          <w:szCs w:val="19"/>
        </w:rPr>
        <w:t xml:space="preserve">No voice of the customer. </w:t>
      </w:r>
      <w:r>
        <w:rPr>
          <w:rFonts w:ascii="Arial" w:cs="Arial" w:eastAsia="Arial" w:hAnsi="Arial"/>
          <w:sz w:val="19"/>
          <w:szCs w:val="19"/>
        </w:rPr>
        <w:t xml:space="preserve">No customer research has been conducted and none can be commissioned, analysed and defended before 30 September. Willingness to pay and charging behaviour will therefore not be asserted. In their place: the interview programme, any EV data Verdal already holds against its loyalty base, and — decisively — a pilot measurement specified in the 100-day plan.</w:t>
      </w:r>
    </w:p>
    <w:p>
      <w:pPr>
        <w:spacing w:after="90"/>
        <w:ind w:left="340" w:hanging="200"/>
      </w:pPr>
      <w:r>
        <w:rPr>
          <w:rFonts w:ascii="Arial" w:cs="Arial" w:eastAsia="Arial" w:hAnsi="Arial"/>
          <w:b/>
          <w:bCs/>
          <w:color w:val="C00000"/>
          <w:sz w:val="19"/>
          <w:szCs w:val="19"/>
        </w:rPr>
        <w:t xml:space="preserve">— </w:t>
      </w:r>
      <w:r>
        <w:rPr>
          <w:rFonts w:ascii="Arial" w:cs="Arial" w:eastAsia="Arial" w:hAnsi="Arial"/>
          <w:b/>
          <w:bCs/>
          <w:sz w:val="19"/>
          <w:szCs w:val="19"/>
        </w:rPr>
        <w:t xml:space="preserve">No destination-charging utilisation benchmark. </w:t>
      </w:r>
      <w:r>
        <w:rPr>
          <w:rFonts w:ascii="Arial" w:cs="Arial" w:eastAsia="Arial" w:hAnsi="Arial"/>
          <w:sz w:val="19"/>
          <w:szCs w:val="19"/>
        </w:rPr>
        <w:t xml:space="preserve">Every published European utilisation figure covers highway or mixed networks. The operators whose estates most resemble Verdal's disclose nothing. Utilisation is also the single variable that decides profitability. In its place: the throughput data held by Verdal's two incumbent operators, which is the only destination-charging evidence available anywhere in this engagement, and a bounded range with its derivation shown wherever a figure is required before that data arrives.</w:t>
      </w:r>
    </w:p>
    <w:p>
      <w:pPr>
        <w:spacing w:after="90"/>
        <w:ind w:left="340" w:hanging="200"/>
      </w:pPr>
      <w:r>
        <w:rPr>
          <w:rFonts w:ascii="Arial" w:cs="Arial" w:eastAsia="Arial" w:hAnsi="Arial"/>
          <w:b/>
          <w:bCs/>
          <w:color w:val="C00000"/>
          <w:sz w:val="19"/>
          <w:szCs w:val="19"/>
        </w:rPr>
        <w:t xml:space="preserve">— </w:t>
      </w:r>
      <w:r>
        <w:rPr>
          <w:rFonts w:ascii="Arial" w:cs="Arial" w:eastAsia="Arial" w:hAnsi="Arial"/>
          <w:b/>
          <w:bCs/>
          <w:sz w:val="19"/>
          <w:szCs w:val="19"/>
        </w:rPr>
        <w:t xml:space="preserve">No confident continental benchmark for what a site host is paid. </w:t>
      </w:r>
      <w:r>
        <w:rPr>
          <w:rFonts w:ascii="Arial" w:cs="Arial" w:eastAsia="Arial" w:hAnsi="Arial"/>
          <w:sz w:val="19"/>
          <w:szCs w:val="19"/>
        </w:rPr>
        <w:t xml:space="preserve">Lease fees and revenue shares in European retail charging deals are almost universally undisclosed. In its place: Verdal's own two agreements, and an anonymised read from a retail property adviser in each country.</w:t>
      </w:r>
    </w:p>
    <w:p>
      <w:pPr>
        <w:spacing w:after="140"/>
        <w:jc w:val="both"/>
      </w:pPr>
      <w:r>
        <w:rPr>
          <w:rFonts w:ascii="Arial" w:cs="Arial" w:eastAsia="Arial" w:hAnsi="Arial"/>
          <w:b/>
          <w:bCs/>
          <w:sz w:val="19"/>
          <w:szCs w:val="19"/>
        </w:rPr>
        <w:t xml:space="preserve">Where a number cannot be sourced it will be labelled, not smoothed. </w:t>
      </w:r>
      <w:r>
        <w:rPr>
          <w:rFonts w:ascii="Arial" w:cs="Arial" w:eastAsia="Arial" w:hAnsi="Arial"/>
          <w:sz w:val="19"/>
          <w:szCs w:val="19"/>
        </w:rPr>
        <w:t xml:space="preserve">Every figure in every deliverable carries one of three levels: Verified, meaning a traceable source; Probable, meaning consistent with several sources or derived, with the derivation shown; Hypothesis, meaning plausible reasoning without a source, explicitly flagged. Contradictory data will be presented side by side rather than reconciled into a cleaner story.</w:t>
      </w:r>
    </w:p>
    <w:p>
      <w:pPr>
        <w:spacing w:after="140"/>
        <w:jc w:val="both"/>
      </w:pPr>
      <w:r>
        <w:rPr>
          <w:rFonts w:ascii="Arial" w:cs="Arial" w:eastAsia="Arial" w:hAnsi="Arial"/>
          <w:b/>
          <w:bCs/>
          <w:sz w:val="19"/>
          <w:szCs w:val="19"/>
        </w:rPr>
        <w:t xml:space="preserve">Two consequences of that discipline are worth anticipating. </w:t>
      </w:r>
      <w:r>
        <w:rPr>
          <w:rFonts w:ascii="Arial" w:cs="Arial" w:eastAsia="Arial" w:hAnsi="Arial"/>
          <w:sz w:val="19"/>
          <w:szCs w:val="19"/>
        </w:rPr>
        <w:t xml:space="preserve">The final deck will contain a page saying what is not known and how to find it — that page is a deliverable, not an apology. And if the evidence supports waiting rather than acting, the recommendation will be to wait, with the conditions that would change it.</w:t>
      </w:r>
    </w:p>
    <w:p>
      <w:pPr>
        <w:spacing w:after="200" w:before="60"/>
      </w:pPr>
      <w:r>
        <w:rPr>
          <w:rFonts w:ascii="Arial" w:cs="Arial" w:eastAsia="Arial" w:hAnsi="Arial"/>
          <w:i/>
          <w:iCs/>
          <w:color w:val="595959"/>
          <w:sz w:val="15"/>
          <w:szCs w:val="15"/>
        </w:rPr>
        <w:t xml:space="preserve">Source: RfP of 15 July 2026, section 5 (no customer research conducted); engagement methodologies 01, 02 and 04; published European operator disclosure reviewed to 27 July 2026.</w:t>
      </w:r>
    </w:p>
    <w:p>
      <w:pPr>
        <w:pBdr>
          <w:bottom w:val="single" w:color="1F3864" w:sz="8" w:space="6"/>
        </w:pBdr>
        <w:spacing w:after="120" w:before="360"/>
      </w:pPr>
      <w:r>
        <w:rPr>
          <w:rFonts w:ascii="Georgia" w:cs="Georgia" w:eastAsia="Georgia" w:hAnsi="Georgia"/>
          <w:b/>
          <w:bCs/>
          <w:color w:val="1F3864"/>
          <w:sz w:val="26"/>
          <w:szCs w:val="26"/>
        </w:rPr>
        <w:t xml:space="preserve">What we need from Verdal</w:t>
      </w:r>
    </w:p>
    <w:p>
      <w:pPr>
        <w:spacing w:after="140"/>
        <w:jc w:val="both"/>
      </w:pPr>
      <w:r>
        <w:rPr>
          <w:rFonts w:ascii="Arial" w:cs="Arial" w:eastAsia="Arial" w:hAnsi="Arial"/>
          <w:b/>
          <w:bCs/>
          <w:sz w:val="19"/>
          <w:szCs w:val="19"/>
        </w:rPr>
        <w:t xml:space="preserve">Twenty items, of which six block analysis. </w:t>
      </w:r>
      <w:r>
        <w:rPr>
          <w:rFonts w:ascii="Arial" w:cs="Arial" w:eastAsia="Arial" w:hAnsi="Arial"/>
          <w:sz w:val="19"/>
          <w:szCs w:val="19"/>
        </w:rPr>
        <w:t xml:space="preserve">The full list is the accompanying workbook, with the decision each item unblocks, the date it is needed by and a status column. The six blocking items are below. An item that arrives after its date does not delay the engagement — it converts into a stated assumption, disclosed on the page where it is used. That is workable, and it is not the same deliverable.</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1000"/>
        <w:gridCol w:w="3900"/>
        <w:gridCol w:w="2400"/>
        <w:gridCol w:w="1800"/>
      </w:tblGrid>
      <w:tr>
        <w:trPr>
          <w:tblHeader/>
        </w:trPr>
        <w:tc>
          <w:tcPr>
            <w:tcW w:type="dxa" w:w="10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Ref</w:t>
            </w:r>
          </w:p>
        </w:tc>
        <w:tc>
          <w:tcPr>
            <w:tcW w:type="dxa" w:w="39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Item</w:t>
            </w:r>
          </w:p>
        </w:tc>
        <w:tc>
          <w:tcPr>
            <w:tcW w:type="dxa" w:w="24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Unblocks</w:t>
            </w:r>
          </w:p>
        </w:tc>
        <w:tc>
          <w:tcPr>
            <w:tcW w:type="dxa" w:w="18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Needed by</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DR-01</w:t>
            </w:r>
          </w:p>
        </w:tc>
        <w:tc>
          <w:tcPr>
            <w:tcW w:type="dxa" w:w="3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June Board paper and its source citation</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 — the figure test</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DR-02</w:t>
            </w:r>
          </w:p>
        </w:tc>
        <w:tc>
          <w:tcPr>
            <w:tcW w:type="dxa" w:w="3900"/>
            <w:tcMar>
              <w:top w:type="dxa" w:w="80"/>
              <w:left w:type="dxa" w:w="110"/>
              <w:bottom w:type="dxa" w:w="80"/>
              <w:right w:type="dxa" w:w="110"/>
            </w:tcMar>
          </w:tcPr>
          <w:p>
            <w:r>
              <w:rPr>
                <w:rFonts w:ascii="Arial" w:cs="Arial" w:eastAsia="Arial" w:hAnsi="Arial"/>
                <w:b/>
                <w:bCs/>
                <w:i w:val="false"/>
                <w:iCs w:val="false"/>
                <w:color w:val="000000"/>
                <w:sz w:val="16"/>
                <w:szCs w:val="16"/>
              </w:rPr>
              <w:t xml:space="preserve">Both incumbent operator agreements, in full</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 WP3, WP5</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DR-03</w:t>
            </w:r>
          </w:p>
        </w:tc>
        <w:tc>
          <w:tcPr>
            <w:tcW w:type="dxa" w:w="3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Store list by country, with tenure</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 WP3</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DR-04</w:t>
            </w:r>
          </w:p>
        </w:tc>
        <w:tc>
          <w:tcPr>
            <w:tcW w:type="dxa" w:w="3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Car park capacity, and bays realistically convertible</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 WP2, WP3</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DR-06</w:t>
            </w:r>
          </w:p>
        </w:tc>
        <w:tc>
          <w:tcPr>
            <w:tcW w:type="dxa" w:w="3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Dwell-time distribution by store archetype</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WP2 — the whole work package</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r>
        <w:trPr>
          <w:tblHeader w:val="false"/>
        </w:trPr>
        <w:tc>
          <w:tcPr>
            <w:tcW w:type="dxa" w:w="1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DR-09</w:t>
            </w:r>
          </w:p>
        </w:tc>
        <w:tc>
          <w:tcPr>
            <w:tcW w:type="dxa" w:w="39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Charging income actually received, per site, three years</w:t>
            </w:r>
          </w:p>
        </w:tc>
        <w:tc>
          <w:tcPr>
            <w:tcW w:type="dxa" w:w="24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 WP5 — the counterfactual</w:t>
            </w:r>
          </w:p>
        </w:tc>
        <w:tc>
          <w:tcPr>
            <w:tcW w:type="dxa" w:w="1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w:t>
            </w:r>
          </w:p>
        </w:tc>
      </w:tr>
    </w:tbl>
    <w:p>
      <w:pPr>
        <w:spacing w:after="200" w:before="60"/>
      </w:pPr>
      <w:r>
        <w:rPr>
          <w:rFonts w:ascii="Arial" w:cs="Arial" w:eastAsia="Arial" w:hAnsi="Arial"/>
          <w:i/>
          <w:iCs/>
          <w:color w:val="595959"/>
          <w:sz w:val="15"/>
          <w:szCs w:val="15"/>
        </w:rPr>
        <w:t xml:space="preserve">Source: data-room request list, mandate VG-STRAT-2026-07. Dates are back-planned from final delivery on 30 September 2026.</w:t>
      </w:r>
    </w:p>
    <w:p>
      <w:pPr>
        <w:spacing w:after="140"/>
        <w:jc w:val="both"/>
      </w:pPr>
      <w:r>
        <w:rPr>
          <w:rFonts w:ascii="Arial" w:cs="Arial" w:eastAsia="Arial" w:hAnsi="Arial"/>
          <w:b/>
          <w:bCs/>
          <w:sz w:val="19"/>
          <w:szCs w:val="19"/>
        </w:rPr>
        <w:t xml:space="preserve">Two of the six deserve a word of explanation. </w:t>
      </w:r>
      <w:r>
        <w:rPr>
          <w:rFonts w:ascii="Arial" w:cs="Arial" w:eastAsia="Arial" w:hAnsi="Arial"/>
          <w:sz w:val="19"/>
          <w:szCs w:val="19"/>
        </w:rPr>
        <w:t xml:space="preserve">The operator agreements are needed in full rather than in summary, because the terms that decide the answer — exclusivity scope and radius, break clauses, asset reversion at expiry, and any right to operator throughput data — do not survive summarisation. And the charging income actually received matters because Verdal's counterfactual is not zero: it is the current arrangement. The value of bringing charging in-house is the increment over what is already earned, and treating the gross value of operating as though it were that increment is the most common error in an assessment of this kind.</w:t>
      </w:r>
    </w:p>
    <w:p>
      <w:pPr>
        <w:spacing w:after="140"/>
        <w:jc w:val="both"/>
      </w:pPr>
      <w:r>
        <w:rPr>
          <w:rFonts w:ascii="Arial" w:cs="Arial" w:eastAsia="Arial" w:hAnsi="Arial"/>
          <w:b/>
          <w:bCs/>
          <w:sz w:val="19"/>
          <w:szCs w:val="19"/>
        </w:rPr>
        <w:t xml:space="preserve">The interview programme is proposed on the second tab of the workbook. </w:t>
      </w:r>
      <w:r>
        <w:rPr>
          <w:rFonts w:ascii="Arial" w:cs="Arial" w:eastAsia="Arial" w:hAnsi="Arial"/>
          <w:sz w:val="19"/>
          <w:szCs w:val="19"/>
        </w:rPr>
        <w:t xml:space="preserve">Nineteen interviews, twelve of them inside Verdal. Two are with the incumbent operators and neither will be scheduled without the sponsor's explicit clearance, since Verdal may be about to reprice those agreements.</w:t>
      </w:r>
    </w:p>
    <w:p>
      <w:pPr>
        <w:pBdr>
          <w:bottom w:val="single" w:color="1F3864" w:sz="8" w:space="6"/>
        </w:pBdr>
        <w:spacing w:after="120" w:before="360"/>
      </w:pPr>
      <w:r>
        <w:rPr>
          <w:rFonts w:ascii="Georgia" w:cs="Georgia" w:eastAsia="Georgia" w:hAnsi="Georgia"/>
          <w:b/>
          <w:bCs/>
          <w:color w:val="1F3864"/>
          <w:sz w:val="26"/>
          <w:szCs w:val="26"/>
        </w:rPr>
        <w:t xml:space="preserve">Timetable and governance</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000"/>
        <w:gridCol w:w="2300"/>
        <w:gridCol w:w="4800"/>
      </w:tblGrid>
      <w:tr>
        <w:trPr>
          <w:tblHeader/>
        </w:trPr>
        <w:tc>
          <w:tcPr>
            <w:tcW w:type="dxa" w:w="20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Date</w:t>
            </w:r>
          </w:p>
        </w:tc>
        <w:tc>
          <w:tcPr>
            <w:tcW w:type="dxa" w:w="23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Milestone</w:t>
            </w:r>
          </w:p>
        </w:tc>
        <w:tc>
          <w:tcPr>
            <w:tcW w:type="dxa" w:w="48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What it contains</w:t>
            </w:r>
          </w:p>
        </w:tc>
      </w:tr>
      <w:tr>
        <w:trPr>
          <w:tblHeader w:val="false"/>
        </w:trPr>
        <w:tc>
          <w:tcPr>
            <w:tcW w:type="dxa" w:w="2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4 August</w:t>
            </w:r>
          </w:p>
        </w:tc>
        <w:tc>
          <w:tcPr>
            <w:tcW w:type="dxa" w:w="2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Kick-off</w:t>
            </w:r>
          </w:p>
        </w:tc>
        <w:tc>
          <w:tcPr>
            <w:tcW w:type="dxa" w:w="4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Scope confirmed, countries confirmed, data-room list tabled, interview programme agreed</w:t>
            </w:r>
          </w:p>
        </w:tc>
      </w:tr>
      <w:tr>
        <w:trPr>
          <w:tblHeader w:val="false"/>
        </w:trPr>
        <w:tc>
          <w:tcPr>
            <w:tcW w:type="dxa" w:w="2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11 August</w:t>
            </w:r>
          </w:p>
        </w:tc>
        <w:tc>
          <w:tcPr>
            <w:tcW w:type="dxa" w:w="2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Blocking data due</w:t>
            </w:r>
          </w:p>
        </w:tc>
        <w:tc>
          <w:tcPr>
            <w:tcW w:type="dxa" w:w="4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six items above. Anything outstanding is converted to a stated assumption</w:t>
            </w:r>
          </w:p>
        </w:tc>
      </w:tr>
      <w:tr>
        <w:trPr>
          <w:tblHeader w:val="false"/>
        </w:trPr>
        <w:tc>
          <w:tcPr>
            <w:tcW w:type="dxa" w:w="2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8 September</w:t>
            </w:r>
          </w:p>
        </w:tc>
        <w:tc>
          <w:tcPr>
            <w:tcW w:type="dxa" w:w="2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Interim review</w:t>
            </w:r>
          </w:p>
        </w:tc>
        <w:tc>
          <w:tcPr>
            <w:tcW w:type="dxa" w:w="4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WP1–WP4 in draft: the sizing and the perimeter test, the segment arithmetic, the country screen, and what operators actually achieve. Direction of the recommendation, not the recommendation</w:t>
            </w:r>
          </w:p>
        </w:tc>
      </w:tr>
      <w:tr>
        <w:trPr>
          <w:tblHeader w:val="false"/>
        </w:trPr>
        <w:tc>
          <w:tcPr>
            <w:tcW w:type="dxa" w:w="2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15 September</w:t>
            </w:r>
          </w:p>
        </w:tc>
        <w:tc>
          <w:tcPr>
            <w:tcW w:type="dxa" w:w="23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Analysis closes</w:t>
            </w:r>
          </w:p>
        </w:tc>
        <w:tc>
          <w:tcPr>
            <w:tcW w:type="dxa" w:w="48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Late data can no longer be incorporated without moving the final date</w:t>
            </w:r>
          </w:p>
        </w:tc>
      </w:tr>
      <w:tr>
        <w:trPr>
          <w:tblHeader w:val="false"/>
        </w:trPr>
        <w:tc>
          <w:tcPr>
            <w:tcW w:type="dxa" w:w="2000"/>
            <w:tcMar>
              <w:top w:type="dxa" w:w="80"/>
              <w:left w:type="dxa" w:w="110"/>
              <w:bottom w:type="dxa" w:w="80"/>
              <w:right w:type="dxa" w:w="110"/>
            </w:tcMar>
          </w:tcPr>
          <w:p>
            <w:r>
              <w:rPr>
                <w:rFonts w:ascii="Arial" w:cs="Arial" w:eastAsia="Arial" w:hAnsi="Arial"/>
                <w:b/>
                <w:bCs/>
                <w:i w:val="false"/>
                <w:iCs w:val="false"/>
                <w:color w:val="000000"/>
                <w:sz w:val="16"/>
                <w:szCs w:val="16"/>
              </w:rPr>
              <w:t xml:space="preserve">30 September</w:t>
            </w:r>
          </w:p>
        </w:tc>
        <w:tc>
          <w:tcPr>
            <w:tcW w:type="dxa" w:w="2300"/>
            <w:tcMar>
              <w:top w:type="dxa" w:w="80"/>
              <w:left w:type="dxa" w:w="110"/>
              <w:bottom w:type="dxa" w:w="80"/>
              <w:right w:type="dxa" w:w="110"/>
            </w:tcMar>
          </w:tcPr>
          <w:p>
            <w:r>
              <w:rPr>
                <w:rFonts w:ascii="Arial" w:cs="Arial" w:eastAsia="Arial" w:hAnsi="Arial"/>
                <w:b/>
                <w:bCs/>
                <w:i w:val="false"/>
                <w:iCs w:val="false"/>
                <w:color w:val="000000"/>
                <w:sz w:val="16"/>
                <w:szCs w:val="16"/>
              </w:rPr>
              <w:t xml:space="preserve">Final delivery</w:t>
            </w:r>
          </w:p>
        </w:tc>
        <w:tc>
          <w:tcPr>
            <w:tcW w:type="dxa" w:w="4800"/>
            <w:tcMar>
              <w:top w:type="dxa" w:w="80"/>
              <w:left w:type="dxa" w:w="110"/>
              <w:bottom w:type="dxa" w:w="80"/>
              <w:right w:type="dxa" w:w="110"/>
            </w:tcMar>
          </w:tcPr>
          <w:p>
            <w:r>
              <w:rPr>
                <w:rFonts w:ascii="Arial" w:cs="Arial" w:eastAsia="Arial" w:hAnsi="Arial"/>
                <w:b/>
                <w:bCs/>
                <w:i w:val="false"/>
                <w:iCs w:val="false"/>
                <w:color w:val="000000"/>
                <w:sz w:val="16"/>
                <w:szCs w:val="16"/>
              </w:rPr>
              <w:t xml:space="preserve">Board-ready deck · Excel model with visible, editable assumptions · one-page recommendation · data-room request list · interview programme</w:t>
            </w:r>
          </w:p>
        </w:tc>
      </w:tr>
    </w:tbl>
    <w:p>
      <w:pPr>
        <w:spacing w:after="200" w:before="60"/>
      </w:pPr>
      <w:r>
        <w:rPr>
          <w:rFonts w:ascii="Arial" w:cs="Arial" w:eastAsia="Arial" w:hAnsi="Arial"/>
          <w:i/>
          <w:iCs/>
          <w:color w:val="595959"/>
          <w:sz w:val="15"/>
          <w:szCs w:val="15"/>
        </w:rPr>
        <w:t xml:space="preserve">Source: RfP of 15 July 2026, section 7.</w:t>
      </w:r>
    </w:p>
    <w:p>
      <w:pPr>
        <w:spacing w:after="140"/>
        <w:jc w:val="both"/>
      </w:pPr>
      <w:r>
        <w:rPr>
          <w:rFonts w:ascii="Arial" w:cs="Arial" w:eastAsia="Arial" w:hAnsi="Arial"/>
          <w:b/>
          <w:bCs/>
          <w:sz w:val="19"/>
          <w:szCs w:val="19"/>
        </w:rPr>
        <w:t xml:space="preserve">The model is built to be interrogated, not admired. </w:t>
      </w:r>
      <w:r>
        <w:rPr>
          <w:rFonts w:ascii="Arial" w:cs="Arial" w:eastAsia="Arial" w:hAnsi="Arial"/>
          <w:sz w:val="19"/>
          <w:szCs w:val="19"/>
        </w:rPr>
        <w:t xml:space="preserve">Every assumption sits in its own labelled cell on a single tab, referenced by the formulas that use it. Any parameter Verdal disputes can be changed in one place and the whole model recalculates. That is the point of the deliverable: the Board should be able to test the conclusion against its own view of the inputs rather than take the conclusion on trust.</w:t>
      </w:r>
    </w:p>
    <w:p>
      <w:pPr>
        <w:pBdr>
          <w:bottom w:val="single" w:color="1F3864" w:sz="8" w:space="6"/>
        </w:pBdr>
        <w:spacing w:after="120" w:before="360"/>
      </w:pPr>
      <w:r>
        <w:rPr>
          <w:rFonts w:ascii="Georgia" w:cs="Georgia" w:eastAsia="Georgia" w:hAnsi="Georgia"/>
          <w:b/>
          <w:bCs/>
          <w:color w:val="1F3864"/>
          <w:sz w:val="26"/>
          <w:szCs w:val="26"/>
        </w:rPr>
        <w:t xml:space="preserve">What we would like to settle on 4 August</w:t>
      </w:r>
    </w:p>
    <w:p>
      <w:pPr>
        <w:spacing w:after="140"/>
        <w:jc w:val="both"/>
      </w:pPr>
      <w:r>
        <w:rPr>
          <w:rFonts w:ascii="Arial" w:cs="Arial" w:eastAsia="Arial" w:hAnsi="Arial"/>
          <w:b/>
          <w:bCs/>
          <w:sz w:val="19"/>
          <w:szCs w:val="19"/>
        </w:rPr>
        <w:t xml:space="preserve">Six decisions, in roughly this order. </w:t>
      </w:r>
      <w:r>
        <w:rPr>
          <w:rFonts w:ascii="Arial" w:cs="Arial" w:eastAsia="Arial" w:hAnsi="Arial"/>
          <w:sz w:val="19"/>
          <w:szCs w:val="19"/>
        </w:rPr>
        <w:t xml:space="preserve">The rest of the hour is available for questions.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600"/>
        <w:gridCol w:w="4600"/>
        <w:gridCol w:w="4000"/>
      </w:tblGrid>
      <w:tr>
        <w:trPr>
          <w:tblHeader/>
        </w:trPr>
        <w:tc>
          <w:tcPr>
            <w:tcW w:type="dxa" w:w="6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t>
            </w:r>
          </w:p>
        </w:tc>
        <w:tc>
          <w:tcPr>
            <w:tcW w:type="dxa" w:w="46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Decision</w:t>
            </w:r>
          </w:p>
        </w:tc>
        <w:tc>
          <w:tcPr>
            <w:tcW w:type="dxa" w:w="4000"/>
            <w:shd w:fill="1F3864" w:color="auto" w:val="clear"/>
            <w:tcMar>
              <w:top w:type="dxa" w:w="80"/>
              <w:left w:type="dxa" w:w="110"/>
              <w:bottom w:type="dxa" w:w="80"/>
              <w:right w:type="dxa" w:w="110"/>
            </w:tcMar>
          </w:tcPr>
          <w:p>
            <w:r>
              <w:rPr>
                <w:rFonts w:ascii="Arial" w:cs="Arial" w:eastAsia="Arial" w:hAnsi="Arial"/>
                <w:b/>
                <w:bCs/>
                <w:i w:val="false"/>
                <w:iCs w:val="false"/>
                <w:color w:val="FFFFFF"/>
                <w:sz w:val="16"/>
                <w:szCs w:val="16"/>
              </w:rPr>
              <w:t xml:space="preserve">Why it is needed now</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1</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Confirm the six countries in scope</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Named nowhere in the RfP. Every country-level figure depends on it and the country screen cannot start without it</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2</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Board paper's source citation</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Determines whether WP1 tests one construction or four</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3</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Named owners for the six blocking data items</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An item without a name attached is an item that arrives late</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4</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Clearance to approach the two incumbent operators</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And how far the conversation may go, given the commercial position</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5</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The decision criteria for WP5, and their weights</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Criteria agreed after the scoring are not criteria. They are set now and stated on the page</w:t>
            </w:r>
          </w:p>
        </w:tc>
      </w:tr>
      <w:tr>
        <w:trPr>
          <w:tblHeader w:val="false"/>
        </w:trPr>
        <w:tc>
          <w:tcPr>
            <w:tcW w:type="dxa" w:w="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6</w:t>
            </w:r>
          </w:p>
        </w:tc>
        <w:tc>
          <w:tcPr>
            <w:tcW w:type="dxa" w:w="46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Who attends the interim on 8 September</w:t>
            </w:r>
          </w:p>
        </w:tc>
        <w:tc>
          <w:tcPr>
            <w:tcW w:type="dxa" w:w="4000"/>
            <w:tcMar>
              <w:top w:type="dxa" w:w="80"/>
              <w:left w:type="dxa" w:w="110"/>
              <w:bottom w:type="dxa" w:w="80"/>
              <w:right w:type="dxa" w:w="110"/>
            </w:tcMar>
          </w:tcPr>
          <w:p>
            <w:r>
              <w:rPr>
                <w:rFonts w:ascii="Arial" w:cs="Arial" w:eastAsia="Arial" w:hAnsi="Arial"/>
                <w:b w:val="false"/>
                <w:bCs w:val="false"/>
                <w:i w:val="false"/>
                <w:iCs w:val="false"/>
                <w:color w:val="000000"/>
                <w:sz w:val="16"/>
                <w:szCs w:val="16"/>
              </w:rPr>
              <w:t xml:space="preserve">Determines whether the interim is a working session or a rehearsal for the Board</w:t>
            </w:r>
          </w:p>
        </w:tc>
      </w:tr>
    </w:tbl>
    <w:p>
      <w:pPr>
        <w:spacing w:after="200" w:before="60"/>
      </w:pPr>
      <w:r>
        <w:rPr>
          <w:rFonts w:ascii="Arial" w:cs="Arial" w:eastAsia="Arial" w:hAnsi="Arial"/>
          <w:i/>
          <w:iCs/>
          <w:color w:val="595959"/>
          <w:sz w:val="15"/>
          <w:szCs w:val="15"/>
        </w:rPr>
        <w:t xml:space="preserve">Source: mandate VG-STRAT-2026-07; engagement methodologies 03 and 05.</w:t>
      </w:r>
    </w:p>
    <w:p>
      <w:pPr>
        <w:spacing w:after="140"/>
        <w:jc w:val="both"/>
      </w:pPr>
      <w:r>
        <w:rPr>
          <w:rFonts w:ascii="Arial" w:cs="Arial" w:eastAsia="Arial" w:hAnsi="Arial"/>
          <w:b/>
          <w:bCs/>
          <w:sz w:val="19"/>
          <w:szCs w:val="19"/>
        </w:rPr>
        <w:t xml:space="preserve">One question is worth putting to the room directly. </w:t>
      </w:r>
      <w:r>
        <w:rPr>
          <w:rFonts w:ascii="Arial" w:cs="Arial" w:eastAsia="Arial" w:hAnsi="Arial"/>
          <w:sz w:val="19"/>
          <w:szCs w:val="19"/>
        </w:rPr>
        <w:t xml:space="preserve">What answer would be unwelcome, and why? A mandate whose conclusion is decided in advance is worth knowing about on day one rather than on day fifty-eight. Verdal's stated evaluation criterion suggests the answer is that no conclusion is unwelcome — but it is a better question asked than assumed.</w:t>
      </w:r>
    </w:p>
    <w:p>
      <w:pPr>
        <w:pBdr>
          <w:bottom w:val="single" w:color="BFBFBF" w:sz="6" w:space="6"/>
        </w:pBdr>
        <w:spacing w:before="400"/>
      </w:pPr>
      <w:r>
        <w:rPr>
          <w:sz w:val="2"/>
          <w:szCs w:val="2"/>
        </w:rPr>
        <w:t xml:space="preserve"/>
      </w:r>
    </w:p>
    <w:p>
      <w:pPr>
        <w:spacing w:before="120"/>
      </w:pPr>
      <w:r>
        <w:rPr>
          <w:rFonts w:ascii="Arial" w:cs="Arial" w:eastAsia="Arial" w:hAnsi="Arial"/>
          <w:i/>
          <w:iCs/>
          <w:color w:val="595959"/>
          <w:sz w:val="14"/>
          <w:szCs w:val="14"/>
        </w:rPr>
        <w:t xml:space="preserve">Illustrative demonstration engagement. Verdal Group is a fictional composite; the EV charging market, the named operators and the public comparables referenced in the underlying analysis are real.</w:t>
      </w:r>
    </w:p>
    <w:sectPr>
      <w:headerReference w:type="default" r:id="rId7"/>
      <w:footerReference w:type="default" r:id="rId8"/>
      <w:pgSz w:w="11906" w:h="16838" w:orient="portrait"/>
      <w:pgMar w:top="11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595959"/>
        <w:sz w:val="14"/>
        <w:szCs w:val="14"/>
      </w:rPr>
      <w:t xml:space="preserve">VG-STRAT-2026-07   </w:t>
    </w:r>
    <w:r>
      <w:rPr>
        <w:rFonts w:ascii="Arial" w:cs="Arial" w:eastAsia="Arial" w:hAnsi="Arial"/>
        <w:color w:val="59595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right"/>
    </w:pPr>
    <w:r>
      <w:rPr>
        <w:rFonts w:ascii="Arial" w:cs="Arial" w:eastAsia="Arial" w:hAnsi="Arial"/>
        <w:color w:val="595959"/>
        <w:sz w:val="14"/>
        <w:szCs w:val="14"/>
      </w:rPr>
      <w:t xml:space="preserve">Verdal Group  ·  EV charging: strategic options  ·  kick-off briefing note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2026-07-27T10:02:17.167Z</dcterms:created>
  <dcterms:modified xsi:type="dcterms:W3CDTF">2026-07-27T10:02:17.167Z</dcterms:modified>
</cp:coreProperties>
</file>

<file path=docProps/custom.xml><?xml version="1.0" encoding="utf-8"?>
<Properties xmlns="http://schemas.openxmlformats.org/officeDocument/2006/custom-properties" xmlns:vt="http://schemas.openxmlformats.org/officeDocument/2006/docPropsVTypes"/>
</file>