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BFBFBF" w:sz="4"/>
          <w:bottom w:val="single" w:color="BFBFBF" w:sz="4"/>
          <w:left w:val="single" w:color="BFBFBF" w:sz="4"/>
          <w:right w:val="single" w:color="BFBFBF" w:sz="4"/>
        </w:pBdr>
        <w:shd w:fill="F2DCDB" w:val="clear"/>
        <w:spacing w:after="100" w:before="100" w:line="264"/>
        <w:ind w:left="140" w:right="140"/>
      </w:pPr>
      <w:r>
        <w:rPr>
          <w:rFonts w:ascii="Calibri" w:cs="Calibri" w:eastAsia="Calibri" w:hAnsi="Calibri"/>
          <w:b/>
          <w:bCs/>
          <w:i w:val="false"/>
          <w:iCs w:val="false"/>
          <w:sz w:val="20"/>
          <w:szCs w:val="20"/>
        </w:rPr>
        <w:t xml:space="preserve">INTERNAL COVER SHEET — DELETE THIS PAGE BEFORE SENDING TO THE CLIENT.</w:t>
      </w:r>
      <w:r>
        <w:rPr>
          <w:rFonts w:ascii="Calibri" w:cs="Calibri" w:eastAsia="Calibri" w:hAnsi="Calibri"/>
          <w:b w:val="false"/>
          <w:bCs w:val="false"/>
          <w:i w:val="false"/>
          <w:iCs w:val="false"/>
          <w:sz w:val="20"/>
          <w:szCs w:val="20"/>
        </w:rPr>
        <w:t xml:space="preserve"> It exists so the open items travel with the file. The contract itself starts on the next page.</w:t>
      </w:r>
    </w:p>
    <w:p>
      <w:pPr>
        <w:spacing w:after="40" w:before="200" w:line="264"/>
      </w:pPr>
      <w:r>
        <w:rPr>
          <w:rFonts w:ascii="Calibri" w:cs="Calibri" w:eastAsia="Calibri" w:hAnsi="Calibri"/>
          <w:b/>
          <w:bCs/>
          <w:i w:val="false"/>
          <w:iCs w:val="false"/>
          <w:color w:val="1F3864"/>
          <w:sz w:val="30"/>
          <w:szCs w:val="30"/>
        </w:rPr>
        <w:t xml:space="preserve">Contract file — Verdal Group</w:t>
      </w:r>
    </w:p>
    <w:p>
      <w:pPr>
        <w:spacing w:after="60" w:before="60" w:line="264"/>
      </w:pPr>
      <w:r>
        <w:rPr>
          <w:rFonts w:ascii="Calibri" w:cs="Calibri" w:eastAsia="Calibri" w:hAnsi="Calibri"/>
          <w:b w:val="false"/>
          <w:bCs w:val="false"/>
          <w:i w:val="false"/>
          <w:iCs w:val="false"/>
          <w:color w:val="595959"/>
          <w:sz w:val="21"/>
          <w:szCs w:val="21"/>
        </w:rPr>
        <w:t xml:space="preserve">Consulting Services Agreement · IPANEMA SAS · draft v3 · 27 July 2026</w:t>
      </w:r>
    </w:p>
    <w:p>
      <w:pPr>
        <w:pBdr>
          <w:bottom w:val="single" w:color="1F3864" w:sz="6"/>
        </w:pBdr>
        <w:spacing w:after="120" w:before="120"/>
      </w:pPr>
      <w:r>
        <w:rPr>
          <w:rFonts w:ascii="Calibri" w:cs="Calibri" w:eastAsia="Calibri" w:hAnsi="Calibri"/>
          <w:b w:val="false"/>
          <w:bCs w:val="false"/>
          <w:i w:val="false"/>
          <w:iCs w:val="false"/>
          <w:sz w:val="20"/>
          <w:szCs w:val="20"/>
        </w:rPr>
        <w:t xml:space="preserve"/>
      </w:r>
    </w:p>
    <w:p>
      <w:pPr>
        <w:pBdr>
          <w:top w:val="single" w:color="BFBFBF" w:sz="4"/>
          <w:bottom w:val="single" w:color="BFBFBF" w:sz="4"/>
          <w:left w:val="single" w:color="BFBFBF" w:sz="4"/>
          <w:right w:val="single" w:color="BFBFBF" w:sz="4"/>
        </w:pBdr>
        <w:shd w:fill="FFF2CC" w:val="clear"/>
        <w:spacing w:after="100" w:before="100" w:line="264"/>
        <w:ind w:left="140" w:right="140"/>
      </w:pPr>
      <w:r>
        <w:rPr>
          <w:rFonts w:ascii="Calibri" w:cs="Calibri" w:eastAsia="Calibri" w:hAnsi="Calibri"/>
          <w:b/>
          <w:bCs/>
          <w:i w:val="false"/>
          <w:iCs w:val="false"/>
          <w:sz w:val="20"/>
          <w:szCs w:val="20"/>
        </w:rPr>
        <w:t xml:space="preserve">« Ce document ne constitue pas un conseil juridique ni fiscal — à faire relire par un professionnel. »</w:t>
      </w:r>
      <w:r>
        <w:rPr>
          <w:rFonts w:ascii="Calibri" w:cs="Calibri" w:eastAsia="Calibri" w:hAnsi="Calibri"/>
          <w:b w:val="false"/>
          <w:bCs w:val="false"/>
          <w:i w:val="false"/>
          <w:iCs w:val="false"/>
          <w:sz w:val="20"/>
          <w:szCs w:val="20"/>
        </w:rPr>
        <w:t xml:space="preserve"> Not legal or tax advice. Prepared from your own template and the signed proposal, then cross-checked by two independent external models. Have it reviewed by a qualified lawyer before signature.</w:t>
      </w:r>
    </w:p>
    <w:p>
      <w:pPr>
        <w:spacing w:after="60" w:before="200" w:line="264"/>
      </w:pPr>
      <w:r>
        <w:rPr>
          <w:rFonts w:ascii="Calibri" w:cs="Calibri" w:eastAsia="Calibri" w:hAnsi="Calibri"/>
          <w:b/>
          <w:bCs/>
          <w:i w:val="false"/>
          <w:iCs w:val="false"/>
          <w:color w:val="1F3864"/>
          <w:sz w:val="22"/>
          <w:szCs w:val="22"/>
        </w:rPr>
        <w:t xml:space="preserve">Open before sending</w:t>
      </w:r>
    </w:p>
    <w:tbl>
      <w:tblPr>
        <w:tblW w:type="dxa" w:w="9300"/>
        <w:tblBorders>
          <w:top w:val="single" w:color="BFBFBF" w:sz="4"/>
          <w:left w:val="single" w:color="BFBFBF" w:sz="4"/>
          <w:bottom w:val="single" w:color="BFBFBF" w:sz="4"/>
          <w:right w:val="single" w:color="BFBFBF" w:sz="4"/>
          <w:insideH w:val="single" w:color="BFBFBF" w:sz="4"/>
          <w:insideV w:val="single" w:color="BFBFBF" w:sz="4"/>
        </w:tblBorders>
      </w:tblPr>
      <w:tblGrid>
        <w:gridCol w:w="500"/>
        <w:gridCol w:w="2600"/>
        <w:gridCol w:w="1600"/>
        <w:gridCol w:w="4600"/>
      </w:tblGrid>
      <w:tr>
        <w:trPr>
          <w:tblHeader/>
        </w:trPr>
        <w:tc>
          <w:tcPr>
            <w:tcW w:type="dxa" w:w="5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w:t>
            </w:r>
          </w:p>
        </w:tc>
        <w:tc>
          <w:tcPr>
            <w:tcW w:type="dxa" w:w="26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Open item</w:t>
            </w:r>
          </w:p>
        </w:tc>
        <w:tc>
          <w:tcPr>
            <w:tcW w:type="dxa" w:w="16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Where</w:t>
            </w:r>
          </w:p>
        </w:tc>
        <w:tc>
          <w:tcPr>
            <w:tcW w:type="dxa" w:w="46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What is needed</w:t>
            </w:r>
          </w:p>
        </w:tc>
      </w:tr>
      <w:tr>
        <w:trPr>
          <w:tblHeader w:val="false"/>
        </w:trPr>
        <w:tc>
          <w:tcPr>
            <w:tcW w:type="dxa" w:w="5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1</w:t>
            </w:r>
          </w:p>
        </w:tc>
        <w:tc>
          <w:tcPr>
            <w:tcW w:type="dxa" w:w="26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Client legal identity is blank</w:t>
            </w:r>
          </w:p>
        </w:tc>
        <w:tc>
          <w:tcPr>
            <w:tcW w:type="dxa" w:w="16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Preamble, signature block</w:t>
            </w:r>
          </w:p>
        </w:tc>
        <w:tc>
          <w:tcPr>
            <w:tcW w:type="dxa" w:w="46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Full legal name, legal form, registered office, registration number, intra-Community VAT number, signatory name and title. Without the VAT number the reverse charge at 4.6 cannot be relied on.</w:t>
            </w:r>
          </w:p>
        </w:tc>
      </w:tr>
      <w:tr>
        <w:trPr>
          <w:tblHeader w:val="false"/>
        </w:trPr>
        <w:tc>
          <w:tcPr>
            <w:tcW w:type="dxa" w:w="5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2</w:t>
            </w:r>
          </w:p>
        </w:tc>
        <w:tc>
          <w:tcPr>
            <w:tcW w:type="dxa" w:w="26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Effective Date precedes the proposal it incorporates</w:t>
            </w:r>
          </w:p>
        </w:tc>
        <w:tc>
          <w:tcPr>
            <w:tcW w:type="dxa" w:w="16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Preamble vs 1.1</w:t>
            </w:r>
          </w:p>
        </w:tc>
        <w:tc>
          <w:tcPr>
            <w:tcW w:type="dxa" w:w="46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The draft is dated 27 July 2026; the proposal is dated 29 July 2026. Now drafted as the date of last signature, which removes the impossibility. Overwrite with a fixed date only if it is on or after 29 July.</w:t>
            </w:r>
          </w:p>
        </w:tc>
      </w:tr>
      <w:tr>
        <w:trPr>
          <w:tblHeader w:val="false"/>
        </w:trPr>
        <w:tc>
          <w:tcPr>
            <w:tcW w:type="dxa" w:w="5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3</w:t>
            </w:r>
          </w:p>
        </w:tc>
        <w:tc>
          <w:tcPr>
            <w:tcW w:type="dxa" w:w="26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Professional indemnity cover limit</w:t>
            </w:r>
          </w:p>
        </w:tc>
        <w:tc>
          <w:tcPr>
            <w:tcW w:type="dxa" w:w="16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9.4</w:t>
            </w:r>
          </w:p>
        </w:tc>
        <w:tc>
          <w:tcPr>
            <w:tcW w:type="dxa" w:w="46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Insurer and limit, or attach the certificate.</w:t>
            </w:r>
          </w:p>
        </w:tc>
      </w:tr>
      <w:tr>
        <w:trPr>
          <w:tblHeader w:val="false"/>
        </w:trPr>
        <w:tc>
          <w:tcPr>
            <w:tcW w:type="dxa" w:w="5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4</w:t>
            </w:r>
          </w:p>
        </w:tc>
        <w:tc>
          <w:tcPr>
            <w:tcW w:type="dxa" w:w="26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Named associate</w:t>
            </w:r>
          </w:p>
        </w:tc>
        <w:tc>
          <w:tcPr>
            <w:tcW w:type="dxa" w:w="16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10.2</w:t>
            </w:r>
          </w:p>
        </w:tc>
        <w:tc>
          <w:tcPr>
            <w:tcW w:type="dxa" w:w="46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Name them here, or leave as drafted — notified at kick-off and bound in writing.</w:t>
            </w:r>
          </w:p>
        </w:tc>
      </w:tr>
      <w:tr>
        <w:trPr>
          <w:tblHeader w:val="false"/>
        </w:trPr>
        <w:tc>
          <w:tcPr>
            <w:tcW w:type="dxa" w:w="5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5</w:t>
            </w:r>
          </w:p>
        </w:tc>
        <w:tc>
          <w:tcPr>
            <w:tcW w:type="dxa" w:w="26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Client purchase order / vendor onboarding</w:t>
            </w:r>
          </w:p>
        </w:tc>
        <w:tc>
          <w:tcPr>
            <w:tcW w:type="dxa" w:w="16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4.5</w:t>
            </w:r>
          </w:p>
        </w:tc>
        <w:tc>
          <w:tcPr>
            <w:tcW w:type="dxa" w:w="46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Confirm whether Verdal requires a PO before the kick-off invoice.</w:t>
            </w:r>
          </w:p>
        </w:tc>
      </w:tr>
    </w:tbl>
    <w:p>
      <w:pPr>
        <w:spacing w:after="60" w:before="220" w:line="264"/>
      </w:pPr>
      <w:r>
        <w:rPr>
          <w:rFonts w:ascii="Calibri" w:cs="Calibri" w:eastAsia="Calibri" w:hAnsi="Calibri"/>
          <w:b/>
          <w:bCs/>
          <w:i w:val="false"/>
          <w:iCs w:val="false"/>
          <w:color w:val="1F3864"/>
          <w:sz w:val="22"/>
          <w:szCs w:val="22"/>
        </w:rPr>
        <w:t xml:space="preserve">Points a large retailer's legal team is most likely to open on</w:t>
      </w:r>
    </w:p>
    <w:p>
      <w:pPr>
        <w:pStyle w:val="ListParagraph"/>
        <w:numPr>
          <w:ilvl w:val="0"/>
          <w:numId w:val="2"/>
        </w:numPr>
        <w:spacing w:after="30" w:before="30" w:line="264"/>
      </w:pPr>
      <w:r>
        <w:rPr>
          <w:rFonts w:ascii="Calibri" w:cs="Calibri" w:eastAsia="Calibri" w:hAnsi="Calibri"/>
          <w:b/>
          <w:bCs/>
          <w:i w:val="false"/>
          <w:iCs w:val="false"/>
          <w:sz w:val="20"/>
          <w:szCs w:val="20"/>
        </w:rPr>
        <w:t xml:space="preserve">Acceptance and cure (3.2).</w:t>
      </w:r>
      <w:r>
        <w:rPr>
          <w:rFonts w:ascii="Calibri" w:cs="Calibri" w:eastAsia="Calibri" w:hAnsi="Calibri"/>
          <w:b w:val="false"/>
          <w:bCs w:val="false"/>
          <w:i w:val="false"/>
          <w:iCs w:val="false"/>
          <w:sz w:val="20"/>
          <w:szCs w:val="20"/>
        </w:rPr>
        <w:t xml:space="preserve"> Ten business days with a cure loop; they may still ask for twenty.</w:t>
      </w:r>
    </w:p>
    <w:p>
      <w:pPr>
        <w:pStyle w:val="ListParagraph"/>
        <w:numPr>
          <w:ilvl w:val="0"/>
          <w:numId w:val="2"/>
        </w:numPr>
        <w:spacing w:after="30" w:before="30" w:line="264"/>
      </w:pPr>
      <w:r>
        <w:rPr>
          <w:rFonts w:ascii="Calibri" w:cs="Calibri" w:eastAsia="Calibri" w:hAnsi="Calibri"/>
          <w:b/>
          <w:bCs/>
          <w:i w:val="false"/>
          <w:iCs w:val="false"/>
          <w:sz w:val="20"/>
          <w:szCs w:val="20"/>
        </w:rPr>
        <w:t xml:space="preserve">Liability cap (9.3).</w:t>
      </w:r>
      <w:r>
        <w:rPr>
          <w:rFonts w:ascii="Calibri" w:cs="Calibri" w:eastAsia="Calibri" w:hAnsi="Calibri"/>
          <w:b w:val="false"/>
          <w:bCs w:val="false"/>
          <w:i w:val="false"/>
          <w:iCs w:val="false"/>
          <w:sz w:val="20"/>
          <w:szCs w:val="20"/>
        </w:rPr>
        <w:t xml:space="preserve"> Fixed at EUR 94,000 rather than “fees paid”, with payment and confidentiality carved out of the mutual cap. They will test the carve-outs.</w:t>
      </w:r>
    </w:p>
    <w:p>
      <w:pPr>
        <w:pStyle w:val="ListParagraph"/>
        <w:numPr>
          <w:ilvl w:val="0"/>
          <w:numId w:val="2"/>
        </w:numPr>
        <w:spacing w:after="30" w:before="30" w:line="264"/>
      </w:pPr>
      <w:r>
        <w:rPr>
          <w:rFonts w:ascii="Calibri" w:cs="Calibri" w:eastAsia="Calibri" w:hAnsi="Calibri"/>
          <w:b/>
          <w:bCs/>
          <w:i w:val="false"/>
          <w:iCs w:val="false"/>
          <w:sz w:val="20"/>
          <w:szCs w:val="20"/>
        </w:rPr>
        <w:t xml:space="preserve">IP assignment (7.2).</w:t>
      </w:r>
      <w:r>
        <w:rPr>
          <w:rFonts w:ascii="Calibri" w:cs="Calibri" w:eastAsia="Calibri" w:hAnsi="Calibri"/>
          <w:b w:val="false"/>
          <w:bCs w:val="false"/>
          <w:i w:val="false"/>
          <w:iCs w:val="false"/>
          <w:sz w:val="20"/>
          <w:szCs w:val="20"/>
        </w:rPr>
        <w:t xml:space="preserve"> Enumerated per Article L.131-3 of the Code de la propriété intellectuelle, and conditional on payment of undisputed amounts, with an interim licence. They may push for assignment on delivery.</w:t>
      </w:r>
    </w:p>
    <w:p>
      <w:pPr>
        <w:pStyle w:val="ListParagraph"/>
        <w:numPr>
          <w:ilvl w:val="0"/>
          <w:numId w:val="2"/>
        </w:numPr>
        <w:spacing w:after="30" w:before="30" w:line="264"/>
      </w:pPr>
      <w:r>
        <w:rPr>
          <w:rFonts w:ascii="Calibri" w:cs="Calibri" w:eastAsia="Calibri" w:hAnsi="Calibri"/>
          <w:b/>
          <w:bCs/>
          <w:i w:val="false"/>
          <w:iCs w:val="false"/>
          <w:sz w:val="20"/>
          <w:szCs w:val="20"/>
        </w:rPr>
        <w:t xml:space="preserve">Termination for convenience (11.3).</w:t>
      </w:r>
      <w:r>
        <w:rPr>
          <w:rFonts w:ascii="Calibri" w:cs="Calibri" w:eastAsia="Calibri" w:hAnsi="Calibri"/>
          <w:b w:val="false"/>
          <w:bCs w:val="false"/>
          <w:i w:val="false"/>
          <w:iCs w:val="false"/>
          <w:sz w:val="20"/>
          <w:szCs w:val="20"/>
        </w:rPr>
        <w:t xml:space="preserve"> Now carries a committed-capacity floor. This is the clause a procurement team will attack hardest.</w:t>
      </w:r>
    </w:p>
    <w:p>
      <w:pPr>
        <w:pStyle w:val="ListParagraph"/>
        <w:numPr>
          <w:ilvl w:val="0"/>
          <w:numId w:val="2"/>
        </w:numPr>
        <w:spacing w:after="30" w:before="30" w:line="264"/>
      </w:pPr>
      <w:r>
        <w:rPr>
          <w:rFonts w:ascii="Calibri" w:cs="Calibri" w:eastAsia="Calibri" w:hAnsi="Calibri"/>
          <w:b/>
          <w:bCs/>
          <w:i w:val="false"/>
          <w:iCs w:val="false"/>
          <w:sz w:val="20"/>
          <w:szCs w:val="20"/>
        </w:rPr>
        <w:t xml:space="preserve">Governing law and venue (16.1).</w:t>
      </w:r>
      <w:r>
        <w:rPr>
          <w:rFonts w:ascii="Calibri" w:cs="Calibri" w:eastAsia="Calibri" w:hAnsi="Calibri"/>
          <w:b w:val="false"/>
          <w:bCs w:val="false"/>
          <w:i w:val="false"/>
          <w:iCs w:val="false"/>
          <w:sz w:val="20"/>
          <w:szCs w:val="20"/>
        </w:rPr>
        <w:t xml:space="preserve"> French law, Tribunal de commerce de Dieppe. A foreign group may counter with a neutral forum or arbitration.</w:t>
      </w:r>
    </w:p>
    <w:p>
      <w:r>
        <w:br w:type="page"/>
      </w:r>
    </w:p>
    <w:p>
      <w:pPr>
        <w:spacing w:after="40"/>
      </w:pPr>
      <w:r>
        <w:rPr>
          <w:rFonts w:ascii="Calibri" w:cs="Calibri" w:eastAsia="Calibri" w:hAnsi="Calibri"/>
          <w:b/>
          <w:bCs/>
          <w:color w:val="1F3864"/>
          <w:sz w:val="32"/>
          <w:szCs w:val="32"/>
        </w:rPr>
        <w:t xml:space="preserve">CONSULTING SERVICES AGREEMENT</w:t>
      </w:r>
    </w:p>
    <w:p>
      <w:pPr>
        <w:spacing w:after="60" w:before="60" w:line="264"/>
      </w:pPr>
      <w:r>
        <w:rPr>
          <w:rFonts w:ascii="Calibri" w:cs="Calibri" w:eastAsia="Calibri" w:hAnsi="Calibri"/>
          <w:b w:val="false"/>
          <w:bCs w:val="false"/>
          <w:i w:val="false"/>
          <w:iCs w:val="false"/>
          <w:color w:val="595959"/>
          <w:sz w:val="24"/>
          <w:szCs w:val="24"/>
        </w:rPr>
        <w:t xml:space="preserve">Verdal Group — EV charging: strategic options</w:t>
      </w:r>
    </w:p>
    <w:p>
      <w:pPr>
        <w:pBdr>
          <w:bottom w:val="single" w:color="1F3864" w:sz="6"/>
        </w:pBdr>
        <w:spacing w:after="120" w:before="120"/>
      </w:pPr>
      <w:r>
        <w:rPr>
          <w:rFonts w:ascii="Calibri" w:cs="Calibri" w:eastAsia="Calibri" w:hAnsi="Calibri"/>
          <w:b w:val="false"/>
          <w:bCs w:val="false"/>
          <w:i w:val="false"/>
          <w:iCs w:val="false"/>
          <w:sz w:val="20"/>
          <w:szCs w:val="20"/>
        </w:rPr>
        <w:t xml:space="preserve"/>
      </w:r>
    </w:p>
    <w:p>
      <w:pPr>
        <w:spacing w:after="60" w:before="160" w:line="264"/>
      </w:pPr>
      <w:r>
        <w:rPr>
          <w:rFonts w:ascii="Calibri" w:cs="Calibri" w:eastAsia="Calibri" w:hAnsi="Calibri"/>
          <w:b/>
          <w:bCs/>
          <w:i w:val="false"/>
          <w:iCs w:val="false"/>
          <w:sz w:val="20"/>
          <w:szCs w:val="20"/>
        </w:rPr>
        <w:t xml:space="preserve">This Consulting Services Agreement</w:t>
      </w:r>
      <w:r>
        <w:rPr>
          <w:rFonts w:ascii="Calibri" w:cs="Calibri" w:eastAsia="Calibri" w:hAnsi="Calibri"/>
          <w:b w:val="false"/>
          <w:bCs w:val="false"/>
          <w:i w:val="false"/>
          <w:iCs w:val="false"/>
          <w:sz w:val="20"/>
          <w:szCs w:val="20"/>
        </w:rPr>
        <w:t xml:space="preserve"> (the “Agreement”) is entered into as of the date of the last signature below (the “Effective Date”)</w:t>
      </w:r>
    </w:p>
    <w:p>
      <w:pPr>
        <w:spacing w:after="60" w:before="60" w:line="264"/>
      </w:pPr>
      <w:r>
        <w:rPr>
          <w:rFonts w:ascii="Calibri" w:cs="Calibri" w:eastAsia="Calibri" w:hAnsi="Calibri"/>
          <w:b/>
          <w:bCs/>
          <w:i w:val="false"/>
          <w:iCs w:val="false"/>
          <w:sz w:val="20"/>
          <w:szCs w:val="20"/>
        </w:rPr>
        <w:t xml:space="preserve">between</w:t>
      </w:r>
    </w:p>
    <w:p>
      <w:pPr>
        <w:pStyle w:val="ListParagraph"/>
        <w:numPr>
          <w:ilvl w:val="0"/>
          <w:numId w:val="2"/>
        </w:numPr>
        <w:spacing w:after="30" w:before="30" w:line="264"/>
      </w:pPr>
      <w:r>
        <w:rPr>
          <w:rFonts w:ascii="Calibri" w:cs="Calibri" w:eastAsia="Calibri" w:hAnsi="Calibri"/>
          <w:b/>
          <w:bCs/>
          <w:i w:val="false"/>
          <w:iCs w:val="false"/>
          <w:sz w:val="20"/>
          <w:szCs w:val="20"/>
        </w:rPr>
        <w:t xml:space="preserve">IPANEMA SAS</w:t>
      </w:r>
      <w:r>
        <w:rPr>
          <w:rFonts w:ascii="Calibri" w:cs="Calibri" w:eastAsia="Calibri" w:hAnsi="Calibri"/>
          <w:b w:val="false"/>
          <w:bCs w:val="false"/>
          <w:i w:val="false"/>
          <w:iCs w:val="false"/>
          <w:sz w:val="20"/>
          <w:szCs w:val="20"/>
        </w:rPr>
        <w:t xml:space="preserve">, société par actions simplifiée, registered office at 11 rue Alexandre Legros, 76200 Dieppe, France, registered under SIREN 885 118 646 (SIRET 88511864600037), intra-Community VAT number FR59885118646, represented by Jean-Christophe Lanoix, Président, duly authorised (the “</w:t>
      </w:r>
      <w:r>
        <w:rPr>
          <w:rFonts w:ascii="Calibri" w:cs="Calibri" w:eastAsia="Calibri" w:hAnsi="Calibri"/>
          <w:b/>
          <w:bCs/>
          <w:i w:val="false"/>
          <w:iCs w:val="false"/>
          <w:sz w:val="20"/>
          <w:szCs w:val="20"/>
        </w:rPr>
        <w:t xml:space="preserve">Consultant</w:t>
      </w:r>
      <w:r>
        <w:rPr>
          <w:rFonts w:ascii="Calibri" w:cs="Calibri" w:eastAsia="Calibri" w:hAnsi="Calibri"/>
          <w:b w:val="false"/>
          <w:bCs w:val="false"/>
          <w:i w:val="false"/>
          <w:iCs w:val="false"/>
          <w:sz w:val="20"/>
          <w:szCs w:val="20"/>
        </w:rPr>
        <w:t xml:space="preserve">”); and</w:t>
      </w:r>
    </w:p>
    <w:p>
      <w:pPr>
        <w:pStyle w:val="ListParagraph"/>
        <w:numPr>
          <w:ilvl w:val="0"/>
          <w:numId w:val="2"/>
        </w:numPr>
        <w:spacing w:after="30" w:before="30" w:line="264"/>
      </w:pPr>
      <w:r>
        <w:rPr>
          <w:rFonts w:ascii="Calibri" w:cs="Calibri" w:eastAsia="Calibri" w:hAnsi="Calibri"/>
          <w:b w:val="false"/>
          <w:bCs w:val="false"/>
          <w:i w:val="false"/>
          <w:iCs w:val="false"/>
          <w:sz w:val="20"/>
          <w:szCs w:val="20"/>
          <w:highlight w:val="yellow"/>
          <w:highlightCs w:val="yellow"/>
        </w:rPr>
        <w:t xml:space="preserve">[CLIENT LEGAL NAME — Verdal Group]</w:t>
      </w:r>
      <w:r>
        <w:rPr>
          <w:rFonts w:ascii="Calibri" w:cs="Calibri" w:eastAsia="Calibri" w:hAnsi="Calibri"/>
          <w:b w:val="false"/>
          <w:bCs w:val="false"/>
          <w:i w:val="false"/>
          <w:iCs w:val="false"/>
          <w:sz w:val="20"/>
          <w:szCs w:val="20"/>
        </w:rPr>
        <w:t xml:space="preserve">, </w:t>
      </w:r>
      <w:r>
        <w:rPr>
          <w:rFonts w:ascii="Calibri" w:cs="Calibri" w:eastAsia="Calibri" w:hAnsi="Calibri"/>
          <w:b w:val="false"/>
          <w:bCs w:val="false"/>
          <w:i w:val="false"/>
          <w:iCs w:val="false"/>
          <w:sz w:val="20"/>
          <w:szCs w:val="20"/>
          <w:highlight w:val="yellow"/>
          <w:highlightCs w:val="yellow"/>
        </w:rPr>
        <w:t xml:space="preserve">[legal form]</w:t>
      </w:r>
      <w:r>
        <w:rPr>
          <w:rFonts w:ascii="Calibri" w:cs="Calibri" w:eastAsia="Calibri" w:hAnsi="Calibri"/>
          <w:b w:val="false"/>
          <w:bCs w:val="false"/>
          <w:i w:val="false"/>
          <w:iCs w:val="false"/>
          <w:sz w:val="20"/>
          <w:szCs w:val="20"/>
        </w:rPr>
        <w:t xml:space="preserve">, registered office at </w:t>
      </w:r>
      <w:r>
        <w:rPr>
          <w:rFonts w:ascii="Calibri" w:cs="Calibri" w:eastAsia="Calibri" w:hAnsi="Calibri"/>
          <w:b w:val="false"/>
          <w:bCs w:val="false"/>
          <w:i w:val="false"/>
          <w:iCs w:val="false"/>
          <w:sz w:val="20"/>
          <w:szCs w:val="20"/>
          <w:highlight w:val="yellow"/>
          <w:highlightCs w:val="yellow"/>
        </w:rPr>
        <w:t xml:space="preserve">[address]</w:t>
      </w:r>
      <w:r>
        <w:rPr>
          <w:rFonts w:ascii="Calibri" w:cs="Calibri" w:eastAsia="Calibri" w:hAnsi="Calibri"/>
          <w:b w:val="false"/>
          <w:bCs w:val="false"/>
          <w:i w:val="false"/>
          <w:iCs w:val="false"/>
          <w:sz w:val="20"/>
          <w:szCs w:val="20"/>
        </w:rPr>
        <w:t xml:space="preserve">, registered under </w:t>
      </w:r>
      <w:r>
        <w:rPr>
          <w:rFonts w:ascii="Calibri" w:cs="Calibri" w:eastAsia="Calibri" w:hAnsi="Calibri"/>
          <w:b w:val="false"/>
          <w:bCs w:val="false"/>
          <w:i w:val="false"/>
          <w:iCs w:val="false"/>
          <w:sz w:val="20"/>
          <w:szCs w:val="20"/>
          <w:highlight w:val="yellow"/>
          <w:highlightCs w:val="yellow"/>
        </w:rPr>
        <w:t xml:space="preserve">[registration no.]</w:t>
      </w:r>
      <w:r>
        <w:rPr>
          <w:rFonts w:ascii="Calibri" w:cs="Calibri" w:eastAsia="Calibri" w:hAnsi="Calibri"/>
          <w:b w:val="false"/>
          <w:bCs w:val="false"/>
          <w:i w:val="false"/>
          <w:iCs w:val="false"/>
          <w:sz w:val="20"/>
          <w:szCs w:val="20"/>
        </w:rPr>
        <w:t xml:space="preserve">, intra-Community VAT number </w:t>
      </w:r>
      <w:r>
        <w:rPr>
          <w:rFonts w:ascii="Calibri" w:cs="Calibri" w:eastAsia="Calibri" w:hAnsi="Calibri"/>
          <w:b w:val="false"/>
          <w:bCs w:val="false"/>
          <w:i w:val="false"/>
          <w:iCs w:val="false"/>
          <w:sz w:val="20"/>
          <w:szCs w:val="20"/>
          <w:highlight w:val="yellow"/>
          <w:highlightCs w:val="yellow"/>
        </w:rPr>
        <w:t xml:space="preserve">[VAT no.]</w:t>
      </w:r>
      <w:r>
        <w:rPr>
          <w:rFonts w:ascii="Calibri" w:cs="Calibri" w:eastAsia="Calibri" w:hAnsi="Calibri"/>
          <w:b w:val="false"/>
          <w:bCs w:val="false"/>
          <w:i w:val="false"/>
          <w:iCs w:val="false"/>
          <w:sz w:val="20"/>
          <w:szCs w:val="20"/>
        </w:rPr>
        <w:t xml:space="preserve">, represented by </w:t>
      </w:r>
      <w:r>
        <w:rPr>
          <w:rFonts w:ascii="Calibri" w:cs="Calibri" w:eastAsia="Calibri" w:hAnsi="Calibri"/>
          <w:b w:val="false"/>
          <w:bCs w:val="false"/>
          <w:i w:val="false"/>
          <w:iCs w:val="false"/>
          <w:sz w:val="20"/>
          <w:szCs w:val="20"/>
          <w:highlight w:val="yellow"/>
          <w:highlightCs w:val="yellow"/>
        </w:rPr>
        <w:t xml:space="preserve">[name]</w:t>
      </w:r>
      <w:r>
        <w:rPr>
          <w:rFonts w:ascii="Calibri" w:cs="Calibri" w:eastAsia="Calibri" w:hAnsi="Calibri"/>
          <w:b w:val="false"/>
          <w:bCs w:val="false"/>
          <w:i w:val="false"/>
          <w:iCs w:val="false"/>
          <w:sz w:val="20"/>
          <w:szCs w:val="20"/>
        </w:rPr>
        <w:t xml:space="preserve">, </w:t>
      </w:r>
      <w:r>
        <w:rPr>
          <w:rFonts w:ascii="Calibri" w:cs="Calibri" w:eastAsia="Calibri" w:hAnsi="Calibri"/>
          <w:b w:val="false"/>
          <w:bCs w:val="false"/>
          <w:i w:val="false"/>
          <w:iCs w:val="false"/>
          <w:sz w:val="20"/>
          <w:szCs w:val="20"/>
          <w:highlight w:val="yellow"/>
          <w:highlightCs w:val="yellow"/>
        </w:rPr>
        <w:t xml:space="preserve">[title]</w:t>
      </w:r>
      <w:r>
        <w:rPr>
          <w:rFonts w:ascii="Calibri" w:cs="Calibri" w:eastAsia="Calibri" w:hAnsi="Calibri"/>
          <w:b w:val="false"/>
          <w:bCs w:val="false"/>
          <w:i w:val="false"/>
          <w:iCs w:val="false"/>
          <w:sz w:val="20"/>
          <w:szCs w:val="20"/>
        </w:rPr>
        <w:t xml:space="preserve">, duly authorised (the “</w:t>
      </w:r>
      <w:r>
        <w:rPr>
          <w:rFonts w:ascii="Calibri" w:cs="Calibri" w:eastAsia="Calibri" w:hAnsi="Calibri"/>
          <w:b/>
          <w:bCs/>
          <w:i w:val="false"/>
          <w:iCs w:val="false"/>
          <w:sz w:val="20"/>
          <w:szCs w:val="20"/>
        </w:rPr>
        <w:t xml:space="preserve">Client</w:t>
      </w:r>
      <w:r>
        <w:rPr>
          <w:rFonts w:ascii="Calibri" w:cs="Calibri" w:eastAsia="Calibri" w:hAnsi="Calibri"/>
          <w:b w:val="false"/>
          <w:bCs w:val="false"/>
          <w:i w:val="false"/>
          <w:iCs w:val="false"/>
          <w:sz w:val="20"/>
          <w:szCs w:val="20"/>
        </w:rPr>
        <w:t xml:space="preserve">”).</w:t>
      </w:r>
    </w:p>
    <w:p>
      <w:pPr>
        <w:spacing w:after="60" w:before="60" w:line="264"/>
      </w:pPr>
      <w:r>
        <w:rPr>
          <w:rFonts w:ascii="Calibri" w:cs="Calibri" w:eastAsia="Calibri" w:hAnsi="Calibri"/>
          <w:b w:val="false"/>
          <w:bCs w:val="false"/>
          <w:i w:val="false"/>
          <w:iCs w:val="false"/>
          <w:sz w:val="20"/>
          <w:szCs w:val="20"/>
        </w:rPr>
        <w:t xml:space="preserve">The Consultant and the Client are each a “Party” and together the “Parties”. Each signatory warrants that they have authority to bind their Party.</w:t>
      </w:r>
    </w:p>
    <w:p>
      <w:pPr>
        <w:pStyle w:val="Heading1"/>
        <w:keepNext/>
        <w:spacing w:after="100" w:before="260"/>
      </w:pPr>
      <w:r>
        <w:rPr>
          <w:rFonts w:ascii="Calibri" w:cs="Calibri" w:eastAsia="Calibri" w:hAnsi="Calibri"/>
          <w:b/>
          <w:bCs/>
          <w:color w:val="1F3864"/>
          <w:sz w:val="22"/>
          <w:szCs w:val="22"/>
        </w:rPr>
        <w:t xml:space="preserve">1. Purpose and Scope of Services</w:t>
      </w:r>
    </w:p>
    <w:p>
      <w:pPr>
        <w:spacing w:after="60" w:before="60" w:line="264"/>
      </w:pPr>
      <w:r>
        <w:rPr>
          <w:rFonts w:ascii="Calibri" w:cs="Calibri" w:eastAsia="Calibri" w:hAnsi="Calibri"/>
          <w:b/>
          <w:bCs/>
          <w:i w:val="false"/>
          <w:iCs w:val="false"/>
          <w:sz w:val="20"/>
          <w:szCs w:val="20"/>
        </w:rPr>
        <w:t xml:space="preserve">1.1 </w:t>
      </w:r>
      <w:r>
        <w:rPr>
          <w:rFonts w:ascii="Calibri" w:cs="Calibri" w:eastAsia="Calibri" w:hAnsi="Calibri"/>
          <w:b w:val="false"/>
          <w:bCs w:val="false"/>
          <w:i w:val="false"/>
          <w:iCs w:val="false"/>
          <w:sz w:val="20"/>
          <w:szCs w:val="20"/>
        </w:rPr>
        <w:t xml:space="preserve">The Consultant will provide the professional consulting services described in the proposal “EV charging: strategic options” dated 29 July 2026, issued in response to the Client's Request for Proposal of 15 July 2026 and accepted by the Client (the “</w:t>
      </w:r>
      <w:r>
        <w:rPr>
          <w:rFonts w:ascii="Calibri" w:cs="Calibri" w:eastAsia="Calibri" w:hAnsi="Calibri"/>
          <w:b/>
          <w:bCs/>
          <w:i w:val="false"/>
          <w:iCs w:val="false"/>
          <w:sz w:val="20"/>
          <w:szCs w:val="20"/>
        </w:rPr>
        <w:t xml:space="preserve">Services</w:t>
      </w:r>
      <w:r>
        <w:rPr>
          <w:rFonts w:ascii="Calibri" w:cs="Calibri" w:eastAsia="Calibri" w:hAnsi="Calibri"/>
          <w:b w:val="false"/>
          <w:bCs w:val="false"/>
          <w:i w:val="false"/>
          <w:iCs w:val="false"/>
          <w:sz w:val="20"/>
          <w:szCs w:val="20"/>
        </w:rPr>
        <w:t xml:space="preserve">”), attached as </w:t>
      </w:r>
      <w:r>
        <w:rPr>
          <w:rFonts w:ascii="Calibri" w:cs="Calibri" w:eastAsia="Calibri" w:hAnsi="Calibri"/>
          <w:b/>
          <w:bCs/>
          <w:i w:val="false"/>
          <w:iCs w:val="false"/>
          <w:sz w:val="20"/>
          <w:szCs w:val="20"/>
        </w:rPr>
        <w:t xml:space="preserve">Schedule 1</w:t>
      </w:r>
      <w:r>
        <w:rPr>
          <w:rFonts w:ascii="Calibri" w:cs="Calibri" w:eastAsia="Calibri" w:hAnsi="Calibri"/>
          <w:b w:val="false"/>
          <w:bCs w:val="false"/>
          <w:i w:val="false"/>
          <w:iCs w:val="false"/>
          <w:sz w:val="20"/>
          <w:szCs w:val="20"/>
        </w:rPr>
        <w:t xml:space="preserve"> and incorporated by reference.</w:t>
      </w:r>
    </w:p>
    <w:p>
      <w:pPr>
        <w:spacing w:after="60" w:before="60" w:line="264"/>
      </w:pPr>
      <w:r>
        <w:rPr>
          <w:rFonts w:ascii="Calibri" w:cs="Calibri" w:eastAsia="Calibri" w:hAnsi="Calibri"/>
          <w:b/>
          <w:bCs/>
          <w:i w:val="false"/>
          <w:iCs w:val="false"/>
          <w:sz w:val="20"/>
          <w:szCs w:val="20"/>
        </w:rPr>
        <w:t xml:space="preserve">1.2 </w:t>
      </w:r>
      <w:r>
        <w:rPr>
          <w:rFonts w:ascii="Calibri" w:cs="Calibri" w:eastAsia="Calibri" w:hAnsi="Calibri"/>
          <w:b w:val="false"/>
          <w:bCs w:val="false"/>
          <w:i w:val="false"/>
          <w:iCs w:val="false"/>
          <w:sz w:val="20"/>
          <w:szCs w:val="20"/>
        </w:rPr>
        <w:t xml:space="preserve">The Services comprise the </w:t>
      </w:r>
      <w:r>
        <w:rPr>
          <w:rFonts w:ascii="Calibri" w:cs="Calibri" w:eastAsia="Calibri" w:hAnsi="Calibri"/>
          <w:b/>
          <w:bCs/>
          <w:i w:val="false"/>
          <w:iCs w:val="false"/>
          <w:sz w:val="20"/>
          <w:szCs w:val="20"/>
        </w:rPr>
        <w:t xml:space="preserve">core scope</w:t>
      </w:r>
      <w:r>
        <w:rPr>
          <w:rFonts w:ascii="Calibri" w:cs="Calibri" w:eastAsia="Calibri" w:hAnsi="Calibri"/>
          <w:b w:val="false"/>
          <w:bCs w:val="false"/>
          <w:i w:val="false"/>
          <w:iCs w:val="false"/>
          <w:sz w:val="20"/>
          <w:szCs w:val="20"/>
        </w:rPr>
        <w:t xml:space="preserve"> — work packages WP1 Market, WP2 Segment, WP3 Geography, WP4 Competition, WP5 Entry mode and WP6 100-day plan — </w:t>
      </w:r>
      <w:r>
        <w:rPr>
          <w:rFonts w:ascii="Calibri" w:cs="Calibri" w:eastAsia="Calibri" w:hAnsi="Calibri"/>
          <w:b/>
          <w:bCs/>
          <w:i w:val="false"/>
          <w:iCs w:val="false"/>
          <w:sz w:val="20"/>
          <w:szCs w:val="20"/>
        </w:rPr>
        <w:t xml:space="preserve">together with Evidence Module M1</w:t>
      </w:r>
      <w:r>
        <w:rPr>
          <w:rFonts w:ascii="Calibri" w:cs="Calibri" w:eastAsia="Calibri" w:hAnsi="Calibri"/>
          <w:b w:val="false"/>
          <w:bCs w:val="false"/>
          <w:i w:val="false"/>
          <w:iCs w:val="false"/>
          <w:sz w:val="20"/>
          <w:szCs w:val="20"/>
        </w:rPr>
        <w:t xml:space="preserve"> (measurement of time parked at 6 to 10 nominated sites) </w:t>
      </w:r>
      <w:r>
        <w:rPr>
          <w:rFonts w:ascii="Calibri" w:cs="Calibri" w:eastAsia="Calibri" w:hAnsi="Calibri"/>
          <w:b/>
          <w:bCs/>
          <w:i w:val="false"/>
          <w:iCs w:val="false"/>
          <w:sz w:val="20"/>
          <w:szCs w:val="20"/>
        </w:rPr>
        <w:t xml:space="preserve">and Evidence Module M2</w:t>
      </w:r>
      <w:r>
        <w:rPr>
          <w:rFonts w:ascii="Calibri" w:cs="Calibri" w:eastAsia="Calibri" w:hAnsi="Calibri"/>
          <w:b w:val="false"/>
          <w:bCs w:val="false"/>
          <w:i w:val="false"/>
          <w:iCs w:val="false"/>
          <w:sz w:val="20"/>
          <w:szCs w:val="20"/>
        </w:rPr>
        <w:t xml:space="preserve"> (review of the two existing concession and lease terms). This is Scenario 2 of the proposal: 47 senior days.</w:t>
      </w:r>
    </w:p>
    <w:p>
      <w:pPr>
        <w:spacing w:after="60" w:before="60" w:line="264"/>
      </w:pPr>
      <w:r>
        <w:rPr>
          <w:rFonts w:ascii="Calibri" w:cs="Calibri" w:eastAsia="Calibri" w:hAnsi="Calibri"/>
          <w:b/>
          <w:bCs/>
          <w:i w:val="false"/>
          <w:iCs w:val="false"/>
          <w:sz w:val="20"/>
          <w:szCs w:val="20"/>
        </w:rPr>
        <w:t xml:space="preserve">1.3 </w:t>
      </w:r>
      <w:r>
        <w:rPr>
          <w:rFonts w:ascii="Calibri" w:cs="Calibri" w:eastAsia="Calibri" w:hAnsi="Calibri"/>
          <w:b/>
          <w:bCs/>
          <w:i w:val="false"/>
          <w:iCs w:val="false"/>
          <w:sz w:val="20"/>
          <w:szCs w:val="20"/>
        </w:rPr>
        <w:t xml:space="preserve">Expressly outside the scope.</w:t>
      </w:r>
      <w:r>
        <w:rPr>
          <w:rFonts w:ascii="Calibri" w:cs="Calibri" w:eastAsia="Calibri" w:hAnsi="Calibri"/>
          <w:b w:val="false"/>
          <w:bCs w:val="false"/>
          <w:i w:val="false"/>
          <w:iCs w:val="false"/>
          <w:sz w:val="20"/>
          <w:szCs w:val="20"/>
        </w:rPr>
        <w:t xml:space="preserve"> Evidence Module M3 (basket-effect study on the Client's till data), quoted in the proposal at EUR 20,000 excluding VAT for 10 senior days as a phase 2 activity, is </w:t>
      </w:r>
      <w:r>
        <w:rPr>
          <w:rFonts w:ascii="Calibri" w:cs="Calibri" w:eastAsia="Calibri" w:hAnsi="Calibri"/>
          <w:b/>
          <w:bCs/>
          <w:i w:val="false"/>
          <w:iCs w:val="false"/>
          <w:sz w:val="20"/>
          <w:szCs w:val="20"/>
        </w:rPr>
        <w:t xml:space="preserve">not</w:t>
      </w:r>
      <w:r>
        <w:rPr>
          <w:rFonts w:ascii="Calibri" w:cs="Calibri" w:eastAsia="Calibri" w:hAnsi="Calibri"/>
          <w:b w:val="false"/>
          <w:bCs w:val="false"/>
          <w:i w:val="false"/>
          <w:iCs w:val="false"/>
          <w:sz w:val="20"/>
          <w:szCs w:val="20"/>
        </w:rPr>
        <w:t xml:space="preserve"> included; no till-data extract is required from the Client, or analysed by the Consultant, unless M3 is ordered. Nor is any implementation, execution, procurement, transaction-support or interim-management work included. Module M3 may be added on the terms at </w:t>
      </w:r>
      <w:r>
        <w:rPr>
          <w:rFonts w:ascii="Calibri" w:cs="Calibri" w:eastAsia="Calibri" w:hAnsi="Calibri"/>
          <w:b/>
          <w:bCs/>
          <w:i w:val="false"/>
          <w:iCs w:val="false"/>
          <w:sz w:val="20"/>
          <w:szCs w:val="20"/>
        </w:rPr>
        <w:t xml:space="preserve">Schedule 2</w:t>
      </w:r>
      <w:r>
        <w:rPr>
          <w:rFonts w:ascii="Calibri" w:cs="Calibri" w:eastAsia="Calibri" w:hAnsi="Calibri"/>
          <w:b w:val="false"/>
          <w:bCs w:val="false"/>
          <w:i w:val="false"/>
          <w:iCs w:val="false"/>
          <w:sz w:val="20"/>
          <w:szCs w:val="20"/>
        </w:rPr>
        <w:t xml:space="preserve">; any other addition is priced by Change Order.</w:t>
      </w:r>
    </w:p>
    <w:p>
      <w:pPr>
        <w:spacing w:after="60" w:before="60" w:line="264"/>
      </w:pPr>
      <w:r>
        <w:rPr>
          <w:rFonts w:ascii="Calibri" w:cs="Calibri" w:eastAsia="Calibri" w:hAnsi="Calibri"/>
          <w:b/>
          <w:bCs/>
          <w:i w:val="false"/>
          <w:iCs w:val="false"/>
          <w:sz w:val="20"/>
          <w:szCs w:val="20"/>
        </w:rPr>
        <w:t xml:space="preserve">1.4 </w:t>
      </w:r>
      <w:r>
        <w:rPr>
          <w:rFonts w:ascii="Calibri" w:cs="Calibri" w:eastAsia="Calibri" w:hAnsi="Calibri"/>
          <w:b w:val="false"/>
          <w:bCs w:val="false"/>
          <w:i w:val="false"/>
          <w:iCs w:val="false"/>
          <w:sz w:val="20"/>
          <w:szCs w:val="20"/>
        </w:rPr>
        <w:t xml:space="preserve">Any change to scope, timeline or deliverables will be agreed in writing (a “</w:t>
      </w:r>
      <w:r>
        <w:rPr>
          <w:rFonts w:ascii="Calibri" w:cs="Calibri" w:eastAsia="Calibri" w:hAnsi="Calibri"/>
          <w:b/>
          <w:bCs/>
          <w:i w:val="false"/>
          <w:iCs w:val="false"/>
          <w:sz w:val="20"/>
          <w:szCs w:val="20"/>
        </w:rPr>
        <w:t xml:space="preserve">Change Order</w:t>
      </w:r>
      <w:r>
        <w:rPr>
          <w:rFonts w:ascii="Calibri" w:cs="Calibri" w:eastAsia="Calibri" w:hAnsi="Calibri"/>
          <w:b w:val="false"/>
          <w:bCs w:val="false"/>
          <w:i w:val="false"/>
          <w:iCs w:val="false"/>
          <w:sz w:val="20"/>
          <w:szCs w:val="20"/>
        </w:rPr>
        <w:t xml:space="preserve">”) before the affected work begins, stating the fee and timeline impact.</w:t>
      </w:r>
    </w:p>
    <w:p>
      <w:pPr>
        <w:pStyle w:val="Heading1"/>
        <w:keepNext/>
        <w:spacing w:after="100" w:before="260"/>
      </w:pPr>
      <w:r>
        <w:rPr>
          <w:rFonts w:ascii="Calibri" w:cs="Calibri" w:eastAsia="Calibri" w:hAnsi="Calibri"/>
          <w:b/>
          <w:bCs/>
          <w:color w:val="1F3864"/>
          <w:sz w:val="22"/>
          <w:szCs w:val="22"/>
        </w:rPr>
        <w:t xml:space="preserve">2. Term</w:t>
      </w:r>
    </w:p>
    <w:p>
      <w:pPr>
        <w:spacing w:after="60" w:before="60" w:line="264"/>
      </w:pPr>
      <w:r>
        <w:rPr>
          <w:rFonts w:ascii="Calibri" w:cs="Calibri" w:eastAsia="Calibri" w:hAnsi="Calibri"/>
          <w:b/>
          <w:bCs/>
          <w:i w:val="false"/>
          <w:iCs w:val="false"/>
          <w:sz w:val="20"/>
          <w:szCs w:val="20"/>
        </w:rPr>
        <w:t xml:space="preserve">2.1 </w:t>
      </w:r>
      <w:r>
        <w:rPr>
          <w:rFonts w:ascii="Calibri" w:cs="Calibri" w:eastAsia="Calibri" w:hAnsi="Calibri"/>
          <w:b w:val="false"/>
          <w:bCs w:val="false"/>
          <w:i w:val="false"/>
          <w:iCs w:val="false"/>
          <w:sz w:val="20"/>
          <w:szCs w:val="20"/>
        </w:rPr>
        <w:t xml:space="preserve">This Agreement starts on the Effective Date and continues until completion of the Services and acceptance of the Deliverables, unless terminated earlier under Clause 11.</w:t>
      </w:r>
    </w:p>
    <w:p>
      <w:pPr>
        <w:spacing w:after="60" w:before="60" w:line="264"/>
      </w:pPr>
      <w:r>
        <w:rPr>
          <w:rFonts w:ascii="Calibri" w:cs="Calibri" w:eastAsia="Calibri" w:hAnsi="Calibri"/>
          <w:b/>
          <w:bCs/>
          <w:i w:val="false"/>
          <w:iCs w:val="false"/>
          <w:sz w:val="20"/>
          <w:szCs w:val="20"/>
        </w:rPr>
        <w:t xml:space="preserve">2.2 </w:t>
      </w:r>
      <w:r>
        <w:rPr>
          <w:rFonts w:ascii="Calibri" w:cs="Calibri" w:eastAsia="Calibri" w:hAnsi="Calibri"/>
          <w:b/>
          <w:bCs/>
          <w:i w:val="false"/>
          <w:iCs w:val="false"/>
          <w:sz w:val="20"/>
          <w:szCs w:val="20"/>
        </w:rPr>
        <w:t xml:space="preserve">Period of performance: 4 August 2026 to 14 October 2026.</w:t>
      </w:r>
      <w:r>
        <w:rPr>
          <w:rFonts w:ascii="Calibri" w:cs="Calibri" w:eastAsia="Calibri" w:hAnsi="Calibri"/>
          <w:b w:val="false"/>
          <w:bCs w:val="false"/>
          <w:i w:val="false"/>
          <w:iCs w:val="false"/>
          <w:sz w:val="20"/>
          <w:szCs w:val="20"/>
        </w:rPr>
        <w:t xml:space="preserve"> Milestones: kick-off 4 August 2026; interim review 8 September 2026; final delivery 14 October 2026.</w:t>
      </w:r>
    </w:p>
    <w:p>
      <w:pPr>
        <w:spacing w:after="60" w:before="60" w:line="264"/>
      </w:pPr>
      <w:r>
        <w:rPr>
          <w:rFonts w:ascii="Calibri" w:cs="Calibri" w:eastAsia="Calibri" w:hAnsi="Calibri"/>
          <w:b/>
          <w:bCs/>
          <w:i w:val="false"/>
          <w:iCs w:val="false"/>
          <w:sz w:val="20"/>
          <w:szCs w:val="20"/>
        </w:rPr>
        <w:t xml:space="preserve">2.3 </w:t>
      </w:r>
      <w:r>
        <w:rPr>
          <w:rFonts w:ascii="Calibri" w:cs="Calibri" w:eastAsia="Calibri" w:hAnsi="Calibri"/>
          <w:b w:val="false"/>
          <w:bCs w:val="false"/>
          <w:i w:val="false"/>
          <w:iCs w:val="false"/>
          <w:sz w:val="20"/>
          <w:szCs w:val="20"/>
        </w:rPr>
        <w:t xml:space="preserve">The 14 October delivery date reflects Scenario 2 of the proposal, under which 47 senior days do not fit within the 42 working days between 4 August and 30 September. The interim review of 8 September is unaffected.</w:t>
      </w:r>
    </w:p>
    <w:p>
      <w:pPr>
        <w:pStyle w:val="Heading1"/>
        <w:keepNext/>
        <w:spacing w:after="100" w:before="260"/>
      </w:pPr>
      <w:r>
        <w:rPr>
          <w:rFonts w:ascii="Calibri" w:cs="Calibri" w:eastAsia="Calibri" w:hAnsi="Calibri"/>
          <w:b/>
          <w:bCs/>
          <w:color w:val="1F3864"/>
          <w:sz w:val="22"/>
          <w:szCs w:val="22"/>
        </w:rPr>
        <w:t xml:space="preserve">3. Deliverables and Acceptance</w:t>
      </w:r>
    </w:p>
    <w:p>
      <w:pPr>
        <w:spacing w:after="60" w:before="60" w:line="264"/>
      </w:pPr>
      <w:r>
        <w:rPr>
          <w:rFonts w:ascii="Calibri" w:cs="Calibri" w:eastAsia="Calibri" w:hAnsi="Calibri"/>
          <w:b/>
          <w:bCs/>
          <w:i w:val="false"/>
          <w:iCs w:val="false"/>
          <w:sz w:val="20"/>
          <w:szCs w:val="20"/>
        </w:rPr>
        <w:t xml:space="preserve">3.1 </w:t>
      </w:r>
      <w:r>
        <w:rPr>
          <w:rFonts w:ascii="Calibri" w:cs="Calibri" w:eastAsia="Calibri" w:hAnsi="Calibri"/>
          <w:b w:val="false"/>
          <w:bCs w:val="false"/>
          <w:i w:val="false"/>
          <w:iCs w:val="false"/>
          <w:sz w:val="20"/>
          <w:szCs w:val="20"/>
        </w:rPr>
        <w:t xml:space="preserve">The Consultant will provide the following (the “</w:t>
      </w:r>
      <w:r>
        <w:rPr>
          <w:rFonts w:ascii="Calibri" w:cs="Calibri" w:eastAsia="Calibri" w:hAnsi="Calibri"/>
          <w:b/>
          <w:bCs/>
          <w:i w:val="false"/>
          <w:iCs w:val="false"/>
          <w:sz w:val="20"/>
          <w:szCs w:val="20"/>
        </w:rPr>
        <w:t xml:space="preserve">Deliverables</w:t>
      </w:r>
      <w:r>
        <w:rPr>
          <w:rFonts w:ascii="Calibri" w:cs="Calibri" w:eastAsia="Calibri" w:hAnsi="Calibri"/>
          <w:b w:val="false"/>
          <w:bCs w:val="false"/>
          <w:i w:val="false"/>
          <w:iCs w:val="false"/>
          <w:sz w:val="20"/>
          <w:szCs w:val="20"/>
        </w:rPr>
        <w:t xml:space="preserve">”), in English, in electronic form:</w:t>
      </w:r>
    </w:p>
    <w:tbl>
      <w:tblPr>
        <w:tblW w:type="dxa" w:w="9300"/>
        <w:tblBorders>
          <w:top w:val="single" w:color="BFBFBF" w:sz="4"/>
          <w:left w:val="single" w:color="BFBFBF" w:sz="4"/>
          <w:bottom w:val="single" w:color="BFBFBF" w:sz="4"/>
          <w:right w:val="single" w:color="BFBFBF" w:sz="4"/>
          <w:insideH w:val="single" w:color="BFBFBF" w:sz="4"/>
          <w:insideV w:val="single" w:color="BFBFBF" w:sz="4"/>
        </w:tblBorders>
      </w:tblPr>
      <w:tblGrid>
        <w:gridCol w:w="900"/>
        <w:gridCol w:w="6100"/>
        <w:gridCol w:w="2300"/>
      </w:tblGrid>
      <w:tr>
        <w:trPr>
          <w:tblHeader/>
        </w:trPr>
        <w:tc>
          <w:tcPr>
            <w:tcW w:type="dxa" w:w="9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Ref</w:t>
            </w:r>
          </w:p>
        </w:tc>
        <w:tc>
          <w:tcPr>
            <w:tcW w:type="dxa" w:w="61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Deliverable</w:t>
            </w:r>
          </w:p>
        </w:tc>
        <w:tc>
          <w:tcPr>
            <w:tcW w:type="dxa" w:w="23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Due</w:t>
            </w:r>
          </w:p>
        </w:tc>
      </w:tr>
      <w:tr>
        <w:trPr>
          <w:tblHeader w:val="false"/>
        </w:trPr>
        <w:tc>
          <w:tcPr>
            <w:tcW w:type="dxa" w:w="9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D1</w:t>
            </w:r>
          </w:p>
        </w:tc>
        <w:tc>
          <w:tcPr>
            <w:tcW w:type="dxa" w:w="61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Board-ready deck answering the six work packages</w:t>
            </w:r>
          </w:p>
        </w:tc>
        <w:tc>
          <w:tcPr>
            <w:tcW w:type="dxa" w:w="23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14 October 2026</w:t>
            </w:r>
          </w:p>
        </w:tc>
      </w:tr>
      <w:tr>
        <w:trPr>
          <w:tblHeader w:val="false"/>
        </w:trPr>
        <w:tc>
          <w:tcPr>
            <w:tcW w:type="dxa" w:w="9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D2</w:t>
            </w:r>
          </w:p>
        </w:tc>
        <w:tc>
          <w:tcPr>
            <w:tcW w:type="dxa" w:w="61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Excel model with every assumption visible and editable</w:t>
            </w:r>
          </w:p>
        </w:tc>
        <w:tc>
          <w:tcPr>
            <w:tcW w:type="dxa" w:w="23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14 October 2026</w:t>
            </w:r>
          </w:p>
        </w:tc>
      </w:tr>
      <w:tr>
        <w:trPr>
          <w:tblHeader w:val="false"/>
        </w:trPr>
        <w:tc>
          <w:tcPr>
            <w:tcW w:type="dxa" w:w="9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D3</w:t>
            </w:r>
          </w:p>
        </w:tc>
        <w:tc>
          <w:tcPr>
            <w:tcW w:type="dxa" w:w="61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One-page recommendation</w:t>
            </w:r>
          </w:p>
        </w:tc>
        <w:tc>
          <w:tcPr>
            <w:tcW w:type="dxa" w:w="23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14 October 2026</w:t>
            </w:r>
          </w:p>
        </w:tc>
      </w:tr>
      <w:tr>
        <w:trPr>
          <w:tblHeader w:val="false"/>
        </w:trPr>
        <w:tc>
          <w:tcPr>
            <w:tcW w:type="dxa" w:w="9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D4</w:t>
            </w:r>
          </w:p>
        </w:tc>
        <w:tc>
          <w:tcPr>
            <w:tcW w:type="dxa" w:w="61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Interim review pack — the market (WP1) and segment (WP2) answers, with assumptions exposed</w:t>
            </w:r>
          </w:p>
        </w:tc>
        <w:tc>
          <w:tcPr>
            <w:tcW w:type="dxa" w:w="23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8 September 2026</w:t>
            </w:r>
          </w:p>
        </w:tc>
      </w:tr>
      <w:tr>
        <w:trPr>
          <w:tblHeader w:val="false"/>
        </w:trPr>
        <w:tc>
          <w:tcPr>
            <w:tcW w:type="dxa" w:w="9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D5</w:t>
            </w:r>
          </w:p>
        </w:tc>
        <w:tc>
          <w:tcPr>
            <w:tcW w:type="dxa" w:w="61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Weekly written check-in: what moved, what is stuck, what is needed</w:t>
            </w:r>
          </w:p>
        </w:tc>
        <w:tc>
          <w:tcPr>
            <w:tcW w:type="dxa" w:w="23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Weekly from 4 August to final delivery</w:t>
            </w:r>
          </w:p>
        </w:tc>
      </w:tr>
    </w:tbl>
    <w:p>
      <w:pPr>
        <w:spacing w:after="60" w:before="60" w:line="264"/>
      </w:pPr>
      <w:r>
        <w:rPr>
          <w:rFonts w:ascii="Calibri" w:cs="Calibri" w:eastAsia="Calibri" w:hAnsi="Calibri"/>
          <w:b/>
          <w:bCs/>
          <w:i w:val="false"/>
          <w:iCs w:val="false"/>
          <w:sz w:val="20"/>
          <w:szCs w:val="20"/>
        </w:rPr>
        <w:t xml:space="preserve">3.2 </w:t>
      </w:r>
      <w:r>
        <w:rPr>
          <w:rFonts w:ascii="Calibri" w:cs="Calibri" w:eastAsia="Calibri" w:hAnsi="Calibri"/>
          <w:b/>
          <w:bCs/>
          <w:i w:val="false"/>
          <w:iCs w:val="false"/>
          <w:sz w:val="20"/>
          <w:szCs w:val="20"/>
        </w:rPr>
        <w:t xml:space="preserve">Acceptance.</w:t>
      </w:r>
      <w:r>
        <w:rPr>
          <w:rFonts w:ascii="Calibri" w:cs="Calibri" w:eastAsia="Calibri" w:hAnsi="Calibri"/>
          <w:b w:val="false"/>
          <w:bCs w:val="false"/>
          <w:i w:val="false"/>
          <w:iCs w:val="false"/>
          <w:sz w:val="20"/>
          <w:szCs w:val="20"/>
        </w:rPr>
        <w:t xml:space="preserve"> The Client will review each Deliverable within </w:t>
      </w:r>
      <w:r>
        <w:rPr>
          <w:rFonts w:ascii="Calibri" w:cs="Calibri" w:eastAsia="Calibri" w:hAnsi="Calibri"/>
          <w:b/>
          <w:bCs/>
          <w:i w:val="false"/>
          <w:iCs w:val="false"/>
          <w:sz w:val="20"/>
          <w:szCs w:val="20"/>
        </w:rPr>
        <w:t xml:space="preserve">10 business days</w:t>
      </w:r>
      <w:r>
        <w:rPr>
          <w:rFonts w:ascii="Calibri" w:cs="Calibri" w:eastAsia="Calibri" w:hAnsi="Calibri"/>
          <w:b w:val="false"/>
          <w:bCs w:val="false"/>
          <w:i w:val="false"/>
          <w:iCs w:val="false"/>
          <w:sz w:val="20"/>
          <w:szCs w:val="20"/>
        </w:rPr>
        <w:t xml:space="preserve"> and either accept it or give written comments identifying, by reference to Schedule 1, any material non-conformity. The Consultant will correct a notified material non-conformity within </w:t>
      </w:r>
      <w:r>
        <w:rPr>
          <w:rFonts w:ascii="Calibri" w:cs="Calibri" w:eastAsia="Calibri" w:hAnsi="Calibri"/>
          <w:b/>
          <w:bCs/>
          <w:i w:val="false"/>
          <w:iCs w:val="false"/>
          <w:sz w:val="20"/>
          <w:szCs w:val="20"/>
        </w:rPr>
        <w:t xml:space="preserve">5 business days</w:t>
      </w:r>
      <w:r>
        <w:rPr>
          <w:rFonts w:ascii="Calibri" w:cs="Calibri" w:eastAsia="Calibri" w:hAnsi="Calibri"/>
          <w:b w:val="false"/>
          <w:bCs w:val="false"/>
          <w:i w:val="false"/>
          <w:iCs w:val="false"/>
          <w:sz w:val="20"/>
          <w:szCs w:val="20"/>
        </w:rPr>
        <w:t xml:space="preserve"> and resubmit, and the same review period applies to the resubmission. Absent written comments within a review period, the Deliverable is deemed accepted. Acceptance is not a condition of payment of a milestone already triggered under Clause 4.4.</w:t>
      </w:r>
    </w:p>
    <w:p>
      <w:pPr>
        <w:spacing w:after="60" w:before="60" w:line="264"/>
      </w:pPr>
      <w:r>
        <w:rPr>
          <w:rFonts w:ascii="Calibri" w:cs="Calibri" w:eastAsia="Calibri" w:hAnsi="Calibri"/>
          <w:b/>
          <w:bCs/>
          <w:i w:val="false"/>
          <w:iCs w:val="false"/>
          <w:sz w:val="20"/>
          <w:szCs w:val="20"/>
        </w:rPr>
        <w:t xml:space="preserve">3.3 </w:t>
      </w:r>
      <w:r>
        <w:rPr>
          <w:rFonts w:ascii="Calibri" w:cs="Calibri" w:eastAsia="Calibri" w:hAnsi="Calibri"/>
          <w:b w:val="false"/>
          <w:bCs w:val="false"/>
          <w:i w:val="false"/>
          <w:iCs w:val="false"/>
          <w:sz w:val="20"/>
          <w:szCs w:val="20"/>
        </w:rPr>
        <w:t xml:space="preserve">Where the evidence reasonably obtainable within the period of performance does not support a conclusion, the Consultant will report the gap and its confidence level rather than infer a finding. A gap reported after reasonable efforts within the agreed scope is not a failure to deliver.</w:t>
      </w:r>
    </w:p>
    <w:p>
      <w:pPr>
        <w:pStyle w:val="Heading1"/>
        <w:keepNext/>
        <w:spacing w:after="100" w:before="260"/>
      </w:pPr>
      <w:r>
        <w:rPr>
          <w:rFonts w:ascii="Calibri" w:cs="Calibri" w:eastAsia="Calibri" w:hAnsi="Calibri"/>
          <w:b/>
          <w:bCs/>
          <w:color w:val="1F3864"/>
          <w:sz w:val="22"/>
          <w:szCs w:val="22"/>
        </w:rPr>
        <w:t xml:space="preserve">4. Fees, Expenses and Payment</w:t>
      </w:r>
    </w:p>
    <w:p>
      <w:pPr>
        <w:spacing w:after="60" w:before="60" w:line="264"/>
      </w:pPr>
      <w:r>
        <w:rPr>
          <w:rFonts w:ascii="Calibri" w:cs="Calibri" w:eastAsia="Calibri" w:hAnsi="Calibri"/>
          <w:b/>
          <w:bCs/>
          <w:i w:val="false"/>
          <w:iCs w:val="false"/>
          <w:sz w:val="20"/>
          <w:szCs w:val="20"/>
        </w:rPr>
        <w:t xml:space="preserve">4.1 </w:t>
      </w:r>
      <w:r>
        <w:rPr>
          <w:rFonts w:ascii="Calibri" w:cs="Calibri" w:eastAsia="Calibri" w:hAnsi="Calibri"/>
          <w:b/>
          <w:bCs/>
          <w:i w:val="false"/>
          <w:iCs w:val="false"/>
          <w:sz w:val="20"/>
          <w:szCs w:val="20"/>
        </w:rPr>
        <w:t xml:space="preserve">Fees.</w:t>
      </w:r>
      <w:r>
        <w:rPr>
          <w:rFonts w:ascii="Calibri" w:cs="Calibri" w:eastAsia="Calibri" w:hAnsi="Calibri"/>
          <w:b w:val="false"/>
          <w:bCs w:val="false"/>
          <w:i w:val="false"/>
          <w:iCs w:val="false"/>
          <w:sz w:val="20"/>
          <w:szCs w:val="20"/>
        </w:rPr>
        <w:t xml:space="preserve"> In consideration of the Services, the Client will pay a fixed fee of </w:t>
      </w:r>
      <w:r>
        <w:rPr>
          <w:rFonts w:ascii="Calibri" w:cs="Calibri" w:eastAsia="Calibri" w:hAnsi="Calibri"/>
          <w:b/>
          <w:bCs/>
          <w:i w:val="false"/>
          <w:iCs w:val="false"/>
          <w:sz w:val="20"/>
          <w:szCs w:val="20"/>
        </w:rPr>
        <w:t xml:space="preserve">EUR 94,000 excluding VAT</w:t>
      </w:r>
      <w:r>
        <w:rPr>
          <w:rFonts w:ascii="Calibri" w:cs="Calibri" w:eastAsia="Calibri" w:hAnsi="Calibri"/>
          <w:b w:val="false"/>
          <w:bCs w:val="false"/>
          <w:i w:val="false"/>
          <w:iCs w:val="false"/>
          <w:sz w:val="20"/>
          <w:szCs w:val="20"/>
        </w:rPr>
        <w:t xml:space="preserve">, built bottom-up as 47 senior days at EUR 2,000 per day.</w:t>
      </w:r>
    </w:p>
    <w:p>
      <w:pPr>
        <w:spacing w:after="60" w:before="60" w:line="264"/>
      </w:pPr>
      <w:r>
        <w:rPr>
          <w:rFonts w:ascii="Calibri" w:cs="Calibri" w:eastAsia="Calibri" w:hAnsi="Calibri"/>
          <w:b/>
          <w:bCs/>
          <w:i w:val="false"/>
          <w:iCs w:val="false"/>
          <w:sz w:val="20"/>
          <w:szCs w:val="20"/>
        </w:rPr>
        <w:t xml:space="preserve">4.2 </w:t>
      </w:r>
      <w:r>
        <w:rPr>
          <w:rFonts w:ascii="Calibri" w:cs="Calibri" w:eastAsia="Calibri" w:hAnsi="Calibri"/>
          <w:b/>
          <w:bCs/>
          <w:i w:val="false"/>
          <w:iCs w:val="false"/>
          <w:sz w:val="20"/>
          <w:szCs w:val="20"/>
        </w:rPr>
        <w:t xml:space="preserve">Field costs (Module M1).</w:t>
      </w:r>
      <w:r>
        <w:rPr>
          <w:rFonts w:ascii="Calibri" w:cs="Calibri" w:eastAsia="Calibri" w:hAnsi="Calibri"/>
          <w:b w:val="false"/>
          <w:bCs w:val="false"/>
          <w:i w:val="false"/>
          <w:iCs w:val="false"/>
          <w:sz w:val="20"/>
          <w:szCs w:val="20"/>
        </w:rPr>
        <w:t xml:space="preserve"> The field measurement in Module M1 carries third-party field costs, estimated in the proposal at </w:t>
      </w:r>
      <w:r>
        <w:rPr>
          <w:rFonts w:ascii="Calibri" w:cs="Calibri" w:eastAsia="Calibri" w:hAnsi="Calibri"/>
          <w:b/>
          <w:bCs/>
          <w:i w:val="false"/>
          <w:iCs w:val="false"/>
          <w:sz w:val="20"/>
          <w:szCs w:val="20"/>
        </w:rPr>
        <w:t xml:space="preserve">EUR 18,000 to EUR 28,000</w:t>
      </w:r>
      <w:r>
        <w:rPr>
          <w:rFonts w:ascii="Calibri" w:cs="Calibri" w:eastAsia="Calibri" w:hAnsi="Calibri"/>
          <w:b w:val="false"/>
          <w:bCs w:val="false"/>
          <w:i w:val="false"/>
          <w:iCs w:val="false"/>
          <w:sz w:val="20"/>
          <w:szCs w:val="20"/>
        </w:rPr>
        <w:t xml:space="preserve">. These are </w:t>
      </w:r>
      <w:r>
        <w:rPr>
          <w:rFonts w:ascii="Calibri" w:cs="Calibri" w:eastAsia="Calibri" w:hAnsi="Calibri"/>
          <w:b/>
          <w:bCs/>
          <w:i w:val="false"/>
          <w:iCs w:val="false"/>
          <w:sz w:val="20"/>
          <w:szCs w:val="20"/>
        </w:rPr>
        <w:t xml:space="preserve">excluded from the fee</w:t>
      </w:r>
      <w:r>
        <w:rPr>
          <w:rFonts w:ascii="Calibri" w:cs="Calibri" w:eastAsia="Calibri" w:hAnsi="Calibri"/>
          <w:b w:val="false"/>
          <w:bCs w:val="false"/>
          <w:i w:val="false"/>
          <w:iCs w:val="false"/>
          <w:sz w:val="20"/>
          <w:szCs w:val="20"/>
        </w:rPr>
        <w:t xml:space="preserve"> and passed through </w:t>
      </w:r>
      <w:r>
        <w:rPr>
          <w:rFonts w:ascii="Calibri" w:cs="Calibri" w:eastAsia="Calibri" w:hAnsi="Calibri"/>
          <w:b/>
          <w:bCs/>
          <w:i w:val="false"/>
          <w:iCs w:val="false"/>
          <w:sz w:val="20"/>
          <w:szCs w:val="20"/>
        </w:rPr>
        <w:t xml:space="preserve">at cost, without mark-up</w:t>
      </w:r>
      <w:r>
        <w:rPr>
          <w:rFonts w:ascii="Calibri" w:cs="Calibri" w:eastAsia="Calibri" w:hAnsi="Calibri"/>
          <w:b w:val="false"/>
          <w:bCs w:val="false"/>
          <w:i w:val="false"/>
          <w:iCs w:val="false"/>
          <w:sz w:val="20"/>
          <w:szCs w:val="20"/>
        </w:rPr>
        <w:t xml:space="preserve">, against receipts, capped in aggregate at EUR 28,000 absent a further written approval. The Consultant will submit each field-cost request in writing; the Client will approve or object in writing within </w:t>
      </w:r>
      <w:r>
        <w:rPr>
          <w:rFonts w:ascii="Calibri" w:cs="Calibri" w:eastAsia="Calibri" w:hAnsi="Calibri"/>
          <w:b/>
          <w:bCs/>
          <w:i w:val="false"/>
          <w:iCs w:val="false"/>
          <w:sz w:val="20"/>
          <w:szCs w:val="20"/>
        </w:rPr>
        <w:t xml:space="preserve">3 business days</w:t>
      </w:r>
      <w:r>
        <w:rPr>
          <w:rFonts w:ascii="Calibri" w:cs="Calibri" w:eastAsia="Calibri" w:hAnsi="Calibri"/>
          <w:b w:val="false"/>
          <w:bCs w:val="false"/>
          <w:i w:val="false"/>
          <w:iCs w:val="false"/>
          <w:sz w:val="20"/>
          <w:szCs w:val="20"/>
        </w:rPr>
        <w:t xml:space="preserve">, and silence beyond that period is approval up to the cap. The Client may, on reasonable notice, request copies of the underlying supplier invoices.</w:t>
      </w:r>
    </w:p>
    <w:p>
      <w:pPr>
        <w:spacing w:after="60" w:before="60" w:line="264"/>
      </w:pPr>
      <w:r>
        <w:rPr>
          <w:rFonts w:ascii="Calibri" w:cs="Calibri" w:eastAsia="Calibri" w:hAnsi="Calibri"/>
          <w:b/>
          <w:bCs/>
          <w:i w:val="false"/>
          <w:iCs w:val="false"/>
          <w:sz w:val="20"/>
          <w:szCs w:val="20"/>
        </w:rPr>
        <w:t xml:space="preserve">4.3 </w:t>
      </w:r>
      <w:r>
        <w:rPr>
          <w:rFonts w:ascii="Calibri" w:cs="Calibri" w:eastAsia="Calibri" w:hAnsi="Calibri"/>
          <w:b/>
          <w:bCs/>
          <w:i w:val="false"/>
          <w:iCs w:val="false"/>
          <w:sz w:val="20"/>
          <w:szCs w:val="20"/>
        </w:rPr>
        <w:t xml:space="preserve">Other expenses.</w:t>
      </w:r>
      <w:r>
        <w:rPr>
          <w:rFonts w:ascii="Calibri" w:cs="Calibri" w:eastAsia="Calibri" w:hAnsi="Calibri"/>
          <w:b w:val="false"/>
          <w:bCs w:val="false"/>
          <w:i w:val="false"/>
          <w:iCs w:val="false"/>
          <w:sz w:val="20"/>
          <w:szCs w:val="20"/>
        </w:rPr>
        <w:t xml:space="preserve"> Other out-of-pocket expenses are reimbursed only where pre-approved by the Client in writing, at cost and against receipts.</w:t>
      </w:r>
    </w:p>
    <w:p>
      <w:pPr>
        <w:spacing w:after="60" w:before="60" w:line="264"/>
      </w:pPr>
      <w:r>
        <w:rPr>
          <w:rFonts w:ascii="Calibri" w:cs="Calibri" w:eastAsia="Calibri" w:hAnsi="Calibri"/>
          <w:b/>
          <w:bCs/>
          <w:i w:val="false"/>
          <w:iCs w:val="false"/>
          <w:sz w:val="20"/>
          <w:szCs w:val="20"/>
        </w:rPr>
        <w:t xml:space="preserve">4.4 </w:t>
      </w:r>
      <w:r>
        <w:rPr>
          <w:rFonts w:ascii="Calibri" w:cs="Calibri" w:eastAsia="Calibri" w:hAnsi="Calibri"/>
          <w:b/>
          <w:bCs/>
          <w:i w:val="false"/>
          <w:iCs w:val="false"/>
          <w:sz w:val="20"/>
          <w:szCs w:val="20"/>
        </w:rPr>
        <w:t xml:space="preserve">Milestone schedule.</w:t>
      </w:r>
      <w:r>
        <w:rPr>
          <w:rFonts w:ascii="Calibri" w:cs="Calibri" w:eastAsia="Calibri" w:hAnsi="Calibri"/>
          <w:b w:val="false"/>
          <w:bCs w:val="false"/>
          <w:i w:val="false"/>
          <w:iCs w:val="false"/>
          <w:sz w:val="20"/>
          <w:szCs w:val="20"/>
        </w:rPr>
        <w:t xml:space="preserve"> The fee is invoiced as follows:</w:t>
      </w:r>
    </w:p>
    <w:tbl>
      <w:tblPr>
        <w:tblW w:type="dxa" w:w="9300"/>
        <w:tblBorders>
          <w:top w:val="single" w:color="BFBFBF" w:sz="4"/>
          <w:left w:val="single" w:color="BFBFBF" w:sz="4"/>
          <w:bottom w:val="single" w:color="BFBFBF" w:sz="4"/>
          <w:right w:val="single" w:color="BFBFBF" w:sz="4"/>
          <w:insideH w:val="single" w:color="BFBFBF" w:sz="4"/>
          <w:insideV w:val="single" w:color="BFBFBF" w:sz="4"/>
        </w:tblBorders>
      </w:tblPr>
      <w:tblGrid>
        <w:gridCol w:w="2900"/>
        <w:gridCol w:w="1200"/>
        <w:gridCol w:w="2500"/>
        <w:gridCol w:w="2700"/>
      </w:tblGrid>
      <w:tr>
        <w:trPr>
          <w:tblHeader/>
        </w:trPr>
        <w:tc>
          <w:tcPr>
            <w:tcW w:type="dxa" w:w="29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Milestone</w:t>
            </w:r>
          </w:p>
        </w:tc>
        <w:tc>
          <w:tcPr>
            <w:tcW w:type="dxa" w:w="1200"/>
            <w:shd w:fill="1F3864" w:val="clear"/>
            <w:tcMar>
              <w:top w:type="dxa" w:w="60"/>
              <w:left w:type="dxa" w:w="90"/>
              <w:bottom w:type="dxa" w:w="60"/>
              <w:right w:type="dxa" w:w="90"/>
            </w:tcMar>
          </w:tcPr>
          <w:p>
            <w:pPr>
              <w:spacing w:after="20" w:before="20" w:line="240"/>
              <w:jc w:val="right"/>
            </w:pPr>
            <w:r>
              <w:rPr>
                <w:rFonts w:ascii="Calibri" w:cs="Calibri" w:eastAsia="Calibri" w:hAnsi="Calibri"/>
                <w:b/>
                <w:bCs/>
                <w:i w:val="false"/>
                <w:iCs w:val="false"/>
                <w:color w:val="FFFFFF"/>
                <w:sz w:val="18"/>
                <w:szCs w:val="18"/>
              </w:rPr>
              <w:t xml:space="preserve">Share</w:t>
            </w:r>
          </w:p>
        </w:tc>
        <w:tc>
          <w:tcPr>
            <w:tcW w:type="dxa" w:w="2500"/>
            <w:shd w:fill="1F3864" w:val="clear"/>
            <w:tcMar>
              <w:top w:type="dxa" w:w="60"/>
              <w:left w:type="dxa" w:w="90"/>
              <w:bottom w:type="dxa" w:w="60"/>
              <w:right w:type="dxa" w:w="90"/>
            </w:tcMar>
          </w:tcPr>
          <w:p>
            <w:pPr>
              <w:spacing w:after="20" w:before="20" w:line="240"/>
              <w:jc w:val="right"/>
            </w:pPr>
            <w:r>
              <w:rPr>
                <w:rFonts w:ascii="Calibri" w:cs="Calibri" w:eastAsia="Calibri" w:hAnsi="Calibri"/>
                <w:b/>
                <w:bCs/>
                <w:i w:val="false"/>
                <w:iCs w:val="false"/>
                <w:color w:val="FFFFFF"/>
                <w:sz w:val="18"/>
                <w:szCs w:val="18"/>
              </w:rPr>
              <w:t xml:space="preserve">Amount excl. VAT</w:t>
            </w:r>
          </w:p>
        </w:tc>
        <w:tc>
          <w:tcPr>
            <w:tcW w:type="dxa" w:w="27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Trigger date</w:t>
            </w:r>
          </w:p>
        </w:tc>
      </w:tr>
      <w:tr>
        <w:trPr>
          <w:tblHeader w:val="false"/>
        </w:trPr>
        <w:tc>
          <w:tcPr>
            <w:tcW w:type="dxa" w:w="29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Kick-off</w:t>
            </w:r>
          </w:p>
        </w:tc>
        <w:tc>
          <w:tcPr>
            <w:tcW w:type="dxa" w:w="1200"/>
            <w:tcMar>
              <w:top w:type="dxa" w:w="60"/>
              <w:left w:type="dxa" w:w="90"/>
              <w:bottom w:type="dxa" w:w="60"/>
              <w:right w:type="dxa" w:w="90"/>
            </w:tcMar>
          </w:tcPr>
          <w:p>
            <w:pPr>
              <w:spacing w:after="20" w:before="20" w:line="240"/>
              <w:jc w:val="right"/>
            </w:pPr>
            <w:r>
              <w:rPr>
                <w:rFonts w:ascii="Calibri" w:cs="Calibri" w:eastAsia="Calibri" w:hAnsi="Calibri"/>
                <w:b w:val="false"/>
                <w:bCs w:val="false"/>
                <w:i w:val="false"/>
                <w:iCs w:val="false"/>
                <w:sz w:val="20"/>
                <w:szCs w:val="20"/>
              </w:rPr>
              <w:t xml:space="preserve">30%</w:t>
            </w:r>
          </w:p>
        </w:tc>
        <w:tc>
          <w:tcPr>
            <w:tcW w:type="dxa" w:w="2500"/>
            <w:tcMar>
              <w:top w:type="dxa" w:w="60"/>
              <w:left w:type="dxa" w:w="90"/>
              <w:bottom w:type="dxa" w:w="60"/>
              <w:right w:type="dxa" w:w="90"/>
            </w:tcMar>
          </w:tcPr>
          <w:p>
            <w:pPr>
              <w:spacing w:after="20" w:before="20" w:line="240"/>
              <w:jc w:val="right"/>
            </w:pPr>
            <w:r>
              <w:rPr>
                <w:rFonts w:ascii="Calibri" w:cs="Calibri" w:eastAsia="Calibri" w:hAnsi="Calibri"/>
                <w:b w:val="false"/>
                <w:bCs w:val="false"/>
                <w:i w:val="false"/>
                <w:iCs w:val="false"/>
                <w:sz w:val="20"/>
                <w:szCs w:val="20"/>
              </w:rPr>
              <w:t xml:space="preserve">EUR 28,200</w:t>
            </w:r>
          </w:p>
        </w:tc>
        <w:tc>
          <w:tcPr>
            <w:tcW w:type="dxa" w:w="27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4 August 2026</w:t>
            </w:r>
          </w:p>
        </w:tc>
      </w:tr>
      <w:tr>
        <w:trPr>
          <w:tblHeader w:val="false"/>
        </w:trPr>
        <w:tc>
          <w:tcPr>
            <w:tcW w:type="dxa" w:w="29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Interim review</w:t>
            </w:r>
          </w:p>
        </w:tc>
        <w:tc>
          <w:tcPr>
            <w:tcW w:type="dxa" w:w="1200"/>
            <w:shd w:fill="F2F5FA" w:val="clear"/>
            <w:tcMar>
              <w:top w:type="dxa" w:w="60"/>
              <w:left w:type="dxa" w:w="90"/>
              <w:bottom w:type="dxa" w:w="60"/>
              <w:right w:type="dxa" w:w="90"/>
            </w:tcMar>
          </w:tcPr>
          <w:p>
            <w:pPr>
              <w:spacing w:after="20" w:before="20" w:line="240"/>
              <w:jc w:val="right"/>
            </w:pPr>
            <w:r>
              <w:rPr>
                <w:rFonts w:ascii="Calibri" w:cs="Calibri" w:eastAsia="Calibri" w:hAnsi="Calibri"/>
                <w:b w:val="false"/>
                <w:bCs w:val="false"/>
                <w:i w:val="false"/>
                <w:iCs w:val="false"/>
                <w:sz w:val="20"/>
                <w:szCs w:val="20"/>
              </w:rPr>
              <w:t xml:space="preserve">30%</w:t>
            </w:r>
          </w:p>
        </w:tc>
        <w:tc>
          <w:tcPr>
            <w:tcW w:type="dxa" w:w="2500"/>
            <w:shd w:fill="F2F5FA" w:val="clear"/>
            <w:tcMar>
              <w:top w:type="dxa" w:w="60"/>
              <w:left w:type="dxa" w:w="90"/>
              <w:bottom w:type="dxa" w:w="60"/>
              <w:right w:type="dxa" w:w="90"/>
            </w:tcMar>
          </w:tcPr>
          <w:p>
            <w:pPr>
              <w:spacing w:after="20" w:before="20" w:line="240"/>
              <w:jc w:val="right"/>
            </w:pPr>
            <w:r>
              <w:rPr>
                <w:rFonts w:ascii="Calibri" w:cs="Calibri" w:eastAsia="Calibri" w:hAnsi="Calibri"/>
                <w:b w:val="false"/>
                <w:bCs w:val="false"/>
                <w:i w:val="false"/>
                <w:iCs w:val="false"/>
                <w:sz w:val="20"/>
                <w:szCs w:val="20"/>
              </w:rPr>
              <w:t xml:space="preserve">EUR 28,200</w:t>
            </w:r>
          </w:p>
        </w:tc>
        <w:tc>
          <w:tcPr>
            <w:tcW w:type="dxa" w:w="27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8 September 2026</w:t>
            </w:r>
          </w:p>
        </w:tc>
      </w:tr>
      <w:tr>
        <w:trPr>
          <w:tblHeader w:val="false"/>
        </w:trPr>
        <w:tc>
          <w:tcPr>
            <w:tcW w:type="dxa" w:w="29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Final delivery</w:t>
            </w:r>
          </w:p>
        </w:tc>
        <w:tc>
          <w:tcPr>
            <w:tcW w:type="dxa" w:w="1200"/>
            <w:tcMar>
              <w:top w:type="dxa" w:w="60"/>
              <w:left w:type="dxa" w:w="90"/>
              <w:bottom w:type="dxa" w:w="60"/>
              <w:right w:type="dxa" w:w="90"/>
            </w:tcMar>
          </w:tcPr>
          <w:p>
            <w:pPr>
              <w:spacing w:after="20" w:before="20" w:line="240"/>
              <w:jc w:val="right"/>
            </w:pPr>
            <w:r>
              <w:rPr>
                <w:rFonts w:ascii="Calibri" w:cs="Calibri" w:eastAsia="Calibri" w:hAnsi="Calibri"/>
                <w:b w:val="false"/>
                <w:bCs w:val="false"/>
                <w:i w:val="false"/>
                <w:iCs w:val="false"/>
                <w:sz w:val="20"/>
                <w:szCs w:val="20"/>
              </w:rPr>
              <w:t xml:space="preserve">40%</w:t>
            </w:r>
          </w:p>
        </w:tc>
        <w:tc>
          <w:tcPr>
            <w:tcW w:type="dxa" w:w="2500"/>
            <w:tcMar>
              <w:top w:type="dxa" w:w="60"/>
              <w:left w:type="dxa" w:w="90"/>
              <w:bottom w:type="dxa" w:w="60"/>
              <w:right w:type="dxa" w:w="90"/>
            </w:tcMar>
          </w:tcPr>
          <w:p>
            <w:pPr>
              <w:spacing w:after="20" w:before="20" w:line="240"/>
              <w:jc w:val="right"/>
            </w:pPr>
            <w:r>
              <w:rPr>
                <w:rFonts w:ascii="Calibri" w:cs="Calibri" w:eastAsia="Calibri" w:hAnsi="Calibri"/>
                <w:b w:val="false"/>
                <w:bCs w:val="false"/>
                <w:i w:val="false"/>
                <w:iCs w:val="false"/>
                <w:sz w:val="20"/>
                <w:szCs w:val="20"/>
              </w:rPr>
              <w:t xml:space="preserve">EUR 37,600</w:t>
            </w:r>
          </w:p>
        </w:tc>
        <w:tc>
          <w:tcPr>
            <w:tcW w:type="dxa" w:w="27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14 October 2026</w:t>
            </w:r>
          </w:p>
        </w:tc>
      </w:tr>
      <w:tr>
        <w:trPr>
          <w:tblHeader w:val="false"/>
        </w:trPr>
        <w:tc>
          <w:tcPr>
            <w:tcW w:type="dxa" w:w="2900"/>
            <w:shd w:fill="F2F5FA" w:val="clear"/>
            <w:tcMar>
              <w:top w:type="dxa" w:w="60"/>
              <w:left w:type="dxa" w:w="90"/>
              <w:bottom w:type="dxa" w:w="60"/>
              <w:right w:type="dxa" w:w="90"/>
            </w:tcMar>
          </w:tcPr>
          <w:p>
            <w:pPr>
              <w:spacing w:after="20" w:before="20" w:line="240"/>
            </w:pPr>
            <w:r>
              <w:rPr>
                <w:rFonts w:ascii="Calibri" w:cs="Calibri" w:eastAsia="Calibri" w:hAnsi="Calibri"/>
                <w:b/>
                <w:bCs/>
                <w:i w:val="false"/>
                <w:iCs w:val="false"/>
                <w:sz w:val="20"/>
                <w:szCs w:val="20"/>
              </w:rPr>
              <w:t xml:space="preserve">Total</w:t>
            </w:r>
          </w:p>
        </w:tc>
        <w:tc>
          <w:tcPr>
            <w:tcW w:type="dxa" w:w="1200"/>
            <w:shd w:fill="F2F5FA" w:val="clear"/>
            <w:tcMar>
              <w:top w:type="dxa" w:w="60"/>
              <w:left w:type="dxa" w:w="90"/>
              <w:bottom w:type="dxa" w:w="60"/>
              <w:right w:type="dxa" w:w="90"/>
            </w:tcMar>
          </w:tcPr>
          <w:p>
            <w:pPr>
              <w:spacing w:after="20" w:before="20" w:line="240"/>
              <w:jc w:val="right"/>
            </w:pPr>
            <w:r>
              <w:rPr>
                <w:rFonts w:ascii="Calibri" w:cs="Calibri" w:eastAsia="Calibri" w:hAnsi="Calibri"/>
                <w:b/>
                <w:bCs/>
                <w:i w:val="false"/>
                <w:iCs w:val="false"/>
                <w:sz w:val="20"/>
                <w:szCs w:val="20"/>
              </w:rPr>
              <w:t xml:space="preserve">100%</w:t>
            </w:r>
          </w:p>
        </w:tc>
        <w:tc>
          <w:tcPr>
            <w:tcW w:type="dxa" w:w="2500"/>
            <w:shd w:fill="F2F5FA" w:val="clear"/>
            <w:tcMar>
              <w:top w:type="dxa" w:w="60"/>
              <w:left w:type="dxa" w:w="90"/>
              <w:bottom w:type="dxa" w:w="60"/>
              <w:right w:type="dxa" w:w="90"/>
            </w:tcMar>
          </w:tcPr>
          <w:p>
            <w:pPr>
              <w:spacing w:after="20" w:before="20" w:line="240"/>
              <w:jc w:val="right"/>
            </w:pPr>
            <w:r>
              <w:rPr>
                <w:rFonts w:ascii="Calibri" w:cs="Calibri" w:eastAsia="Calibri" w:hAnsi="Calibri"/>
                <w:b/>
                <w:bCs/>
                <w:i w:val="false"/>
                <w:iCs w:val="false"/>
                <w:sz w:val="20"/>
                <w:szCs w:val="20"/>
              </w:rPr>
              <w:t xml:space="preserve">EUR 94,000</w:t>
            </w:r>
          </w:p>
        </w:tc>
        <w:tc>
          <w:tcPr>
            <w:tcW w:type="dxa" w:w="2700"/>
            <w:shd w:fill="F2F5FA" w:val="clear"/>
            <w:tcMar>
              <w:top w:type="dxa" w:w="60"/>
              <w:left w:type="dxa" w:w="90"/>
              <w:bottom w:type="dxa" w:w="60"/>
              <w:right w:type="dxa" w:w="90"/>
            </w:tcMar>
          </w:tcPr>
          <w:p>
            <w:pPr>
              <w:spacing w:after="20" w:before="20" w:line="240"/>
            </w:pPr>
          </w:p>
        </w:tc>
      </w:tr>
    </w:tbl>
    <w:p>
      <w:pPr>
        <w:spacing w:after="60" w:before="60" w:line="264"/>
      </w:pPr>
      <w:r>
        <w:rPr>
          <w:rFonts w:ascii="Calibri" w:cs="Calibri" w:eastAsia="Calibri" w:hAnsi="Calibri"/>
          <w:b/>
          <w:bCs/>
          <w:i w:val="false"/>
          <w:iCs w:val="false"/>
          <w:sz w:val="20"/>
          <w:szCs w:val="20"/>
        </w:rPr>
        <w:t xml:space="preserve">4.5 </w:t>
      </w:r>
      <w:r>
        <w:rPr>
          <w:rFonts w:ascii="Calibri" w:cs="Calibri" w:eastAsia="Calibri" w:hAnsi="Calibri"/>
          <w:b/>
          <w:bCs/>
          <w:i w:val="false"/>
          <w:iCs w:val="false"/>
          <w:sz w:val="20"/>
          <w:szCs w:val="20"/>
        </w:rPr>
        <w:t xml:space="preserve">Invoicing and payment.</w:t>
      </w:r>
      <w:r>
        <w:rPr>
          <w:rFonts w:ascii="Calibri" w:cs="Calibri" w:eastAsia="Calibri" w:hAnsi="Calibri"/>
          <w:b w:val="false"/>
          <w:bCs w:val="false"/>
          <w:i w:val="false"/>
          <w:iCs w:val="false"/>
          <w:sz w:val="20"/>
          <w:szCs w:val="20"/>
        </w:rPr>
        <w:t xml:space="preserve"> Invoices are payable within </w:t>
      </w:r>
      <w:r>
        <w:rPr>
          <w:rFonts w:ascii="Calibri" w:cs="Calibri" w:eastAsia="Calibri" w:hAnsi="Calibri"/>
          <w:b/>
          <w:bCs/>
          <w:i w:val="false"/>
          <w:iCs w:val="false"/>
          <w:sz w:val="20"/>
          <w:szCs w:val="20"/>
        </w:rPr>
        <w:t xml:space="preserve">30 days of the invoice date</w:t>
      </w:r>
      <w:r>
        <w:rPr>
          <w:rFonts w:ascii="Calibri" w:cs="Calibri" w:eastAsia="Calibri" w:hAnsi="Calibri"/>
          <w:b w:val="false"/>
          <w:bCs w:val="false"/>
          <w:i w:val="false"/>
          <w:iCs w:val="false"/>
          <w:sz w:val="20"/>
          <w:szCs w:val="20"/>
        </w:rPr>
        <w:t xml:space="preserve">, by bank transfer, and in any event within the maximum period permitted by Article L.441-10 of the French Code de commerce. Where the Client requires a purchase order or vendor onboarding, it will complete both before kick-off; delay in either does not defer the due date.</w:t>
      </w:r>
    </w:p>
    <w:p>
      <w:pPr>
        <w:spacing w:after="60" w:before="60" w:line="264"/>
      </w:pPr>
      <w:r>
        <w:rPr>
          <w:rFonts w:ascii="Calibri" w:cs="Calibri" w:eastAsia="Calibri" w:hAnsi="Calibri"/>
          <w:b/>
          <w:bCs/>
          <w:i w:val="false"/>
          <w:iCs w:val="false"/>
          <w:sz w:val="20"/>
          <w:szCs w:val="20"/>
        </w:rPr>
        <w:t xml:space="preserve">4.6 </w:t>
      </w:r>
      <w:r>
        <w:rPr>
          <w:rFonts w:ascii="Calibri" w:cs="Calibri" w:eastAsia="Calibri" w:hAnsi="Calibri"/>
          <w:b/>
          <w:bCs/>
          <w:i w:val="false"/>
          <w:iCs w:val="false"/>
          <w:sz w:val="20"/>
          <w:szCs w:val="20"/>
        </w:rPr>
        <w:t xml:space="preserve">Taxes.</w:t>
      </w:r>
      <w:r>
        <w:rPr>
          <w:rFonts w:ascii="Calibri" w:cs="Calibri" w:eastAsia="Calibri" w:hAnsi="Calibri"/>
          <w:b w:val="false"/>
          <w:bCs w:val="false"/>
          <w:i w:val="false"/>
          <w:iCs w:val="false"/>
          <w:sz w:val="20"/>
          <w:szCs w:val="20"/>
        </w:rPr>
        <w:t xml:space="preserve"> Fees are exclusive of VAT and any other applicable taxes, which the Client bears where due. Where the Client is established in an EU Member State other than France and supplies a valid intra-Community VAT number, the reverse-charge mechanism applies (Article 44 of Directive 2006/112/EC; Article 283-2 of the French Code général des impôts) and no French VAT is charged.</w:t>
      </w:r>
    </w:p>
    <w:p>
      <w:pPr>
        <w:spacing w:after="60" w:before="60" w:line="264"/>
      </w:pPr>
      <w:r>
        <w:rPr>
          <w:rFonts w:ascii="Calibri" w:cs="Calibri" w:eastAsia="Calibri" w:hAnsi="Calibri"/>
          <w:b/>
          <w:bCs/>
          <w:i w:val="false"/>
          <w:iCs w:val="false"/>
          <w:sz w:val="20"/>
          <w:szCs w:val="20"/>
        </w:rPr>
        <w:t xml:space="preserve">4.7 </w:t>
      </w:r>
      <w:r>
        <w:rPr>
          <w:rFonts w:ascii="Calibri" w:cs="Calibri" w:eastAsia="Calibri" w:hAnsi="Calibri"/>
          <w:b/>
          <w:bCs/>
          <w:i w:val="false"/>
          <w:iCs w:val="false"/>
          <w:sz w:val="20"/>
          <w:szCs w:val="20"/>
        </w:rPr>
        <w:t xml:space="preserve">Late payment.</w:t>
      </w:r>
      <w:r>
        <w:rPr>
          <w:rFonts w:ascii="Calibri" w:cs="Calibri" w:eastAsia="Calibri" w:hAnsi="Calibri"/>
          <w:b w:val="false"/>
          <w:bCs w:val="false"/>
          <w:i w:val="false"/>
          <w:iCs w:val="false"/>
          <w:sz w:val="20"/>
          <w:szCs w:val="20"/>
        </w:rPr>
        <w:t xml:space="preserve"> Any amount unpaid at its due date bears interest, automatically and without reminder, at the rate applied by the European Central Bank to its most recent refinancing operation plus 10 percentage points, together with a fixed indemnity for recovery costs of EUR 40 per invoice and, on evidence, any recovery costs above that amount (Articles L.441-10 and D.441-5 of the French Code de commerce). Where an undisputed invoice remains unpaid </w:t>
      </w:r>
      <w:r>
        <w:rPr>
          <w:rFonts w:ascii="Calibri" w:cs="Calibri" w:eastAsia="Calibri" w:hAnsi="Calibri"/>
          <w:b/>
          <w:bCs/>
          <w:i w:val="false"/>
          <w:iCs w:val="false"/>
          <w:sz w:val="20"/>
          <w:szCs w:val="20"/>
        </w:rPr>
        <w:t xml:space="preserve">10 business days</w:t>
      </w:r>
      <w:r>
        <w:rPr>
          <w:rFonts w:ascii="Calibri" w:cs="Calibri" w:eastAsia="Calibri" w:hAnsi="Calibri"/>
          <w:b w:val="false"/>
          <w:bCs w:val="false"/>
          <w:i w:val="false"/>
          <w:iCs w:val="false"/>
          <w:sz w:val="20"/>
          <w:szCs w:val="20"/>
        </w:rPr>
        <w:t xml:space="preserve"> after written notice, the Consultant may suspend the Services; amounts disputed in good faith and notified with reasons within the payment period are excluded from this right.</w:t>
      </w:r>
    </w:p>
    <w:p>
      <w:pPr>
        <w:pStyle w:val="Heading1"/>
        <w:keepNext/>
        <w:spacing w:after="100" w:before="260"/>
      </w:pPr>
      <w:r>
        <w:rPr>
          <w:rFonts w:ascii="Calibri" w:cs="Calibri" w:eastAsia="Calibri" w:hAnsi="Calibri"/>
          <w:b/>
          <w:bCs/>
          <w:color w:val="1F3864"/>
          <w:sz w:val="22"/>
          <w:szCs w:val="22"/>
        </w:rPr>
        <w:t xml:space="preserve">5. Client Responsibilities</w:t>
      </w:r>
    </w:p>
    <w:p>
      <w:pPr>
        <w:spacing w:after="60" w:before="60" w:line="264"/>
      </w:pPr>
      <w:r>
        <w:rPr>
          <w:rFonts w:ascii="Calibri" w:cs="Calibri" w:eastAsia="Calibri" w:hAnsi="Calibri"/>
          <w:b/>
          <w:bCs/>
          <w:i w:val="false"/>
          <w:iCs w:val="false"/>
          <w:sz w:val="20"/>
          <w:szCs w:val="20"/>
        </w:rPr>
        <w:t xml:space="preserve">5.1 </w:t>
      </w:r>
      <w:r>
        <w:rPr>
          <w:rFonts w:ascii="Calibri" w:cs="Calibri" w:eastAsia="Calibri" w:hAnsi="Calibri"/>
          <w:b w:val="false"/>
          <w:bCs w:val="false"/>
          <w:i w:val="false"/>
          <w:iCs w:val="false"/>
          <w:sz w:val="20"/>
          <w:szCs w:val="20"/>
        </w:rPr>
        <w:t xml:space="preserve">The Client will give timely access to the information, data, personnel and decisions the Consultant reasonably needs.</w:t>
      </w:r>
    </w:p>
    <w:p>
      <w:pPr>
        <w:spacing w:after="60" w:before="60" w:line="264"/>
      </w:pPr>
      <w:r>
        <w:rPr>
          <w:rFonts w:ascii="Calibri" w:cs="Calibri" w:eastAsia="Calibri" w:hAnsi="Calibri"/>
          <w:b/>
          <w:bCs/>
          <w:i w:val="false"/>
          <w:iCs w:val="false"/>
          <w:sz w:val="20"/>
          <w:szCs w:val="20"/>
        </w:rPr>
        <w:t xml:space="preserve">5.2 </w:t>
      </w:r>
      <w:r>
        <w:rPr>
          <w:rFonts w:ascii="Calibri" w:cs="Calibri" w:eastAsia="Calibri" w:hAnsi="Calibri"/>
          <w:b w:val="false"/>
          <w:bCs w:val="false"/>
          <w:i w:val="false"/>
          <w:iCs w:val="false"/>
          <w:sz w:val="20"/>
          <w:szCs w:val="20"/>
        </w:rPr>
        <w:t xml:space="preserve">Specifically, and because the timetable at Clause 2.2 depends on them, the Client will provide:</w:t>
      </w:r>
    </w:p>
    <w:p>
      <w:pPr>
        <w:pStyle w:val="ListParagraph"/>
        <w:numPr>
          <w:ilvl w:val="0"/>
          <w:numId w:val="2"/>
        </w:numPr>
        <w:spacing w:after="30" w:before="30" w:line="264"/>
      </w:pPr>
      <w:r>
        <w:rPr>
          <w:rFonts w:ascii="Calibri" w:cs="Calibri" w:eastAsia="Calibri" w:hAnsi="Calibri"/>
          <w:b/>
          <w:bCs/>
          <w:i w:val="false"/>
          <w:iCs w:val="false"/>
          <w:sz w:val="20"/>
          <w:szCs w:val="20"/>
        </w:rPr>
        <w:t xml:space="preserve">At kick-off, 4 August 2026</w:t>
      </w:r>
      <w:r>
        <w:rPr>
          <w:rFonts w:ascii="Calibri" w:cs="Calibri" w:eastAsia="Calibri" w:hAnsi="Calibri"/>
          <w:b w:val="false"/>
          <w:bCs w:val="false"/>
          <w:i w:val="false"/>
          <w:iCs w:val="false"/>
          <w:sz w:val="20"/>
          <w:szCs w:val="20"/>
        </w:rPr>
        <w:t xml:space="preserve"> — the two existing charge point operator lease contracts, and a written data request issued by the Client to both lessees covering metered throughput, session counts, uptime and arrival state of charge.</w:t>
      </w:r>
    </w:p>
    <w:p>
      <w:pPr>
        <w:pStyle w:val="ListParagraph"/>
        <w:numPr>
          <w:ilvl w:val="0"/>
          <w:numId w:val="2"/>
        </w:numPr>
        <w:spacing w:after="30" w:before="30" w:line="264"/>
      </w:pPr>
      <w:r>
        <w:rPr>
          <w:rFonts w:ascii="Calibri" w:cs="Calibri" w:eastAsia="Calibri" w:hAnsi="Calibri"/>
          <w:b/>
          <w:bCs/>
          <w:i w:val="false"/>
          <w:iCs w:val="false"/>
          <w:sz w:val="20"/>
          <w:szCs w:val="20"/>
        </w:rPr>
        <w:t xml:space="preserve">At kick-off</w:t>
      </w:r>
      <w:r>
        <w:rPr>
          <w:rFonts w:ascii="Calibri" w:cs="Calibri" w:eastAsia="Calibri" w:hAnsi="Calibri"/>
          <w:b w:val="false"/>
          <w:bCs w:val="false"/>
          <w:i w:val="false"/>
          <w:iCs w:val="false"/>
          <w:sz w:val="20"/>
          <w:szCs w:val="20"/>
        </w:rPr>
        <w:t xml:space="preserve"> — confirmation of the six countries in scope, and a single named decision counterpart on the Client side.</w:t>
      </w:r>
    </w:p>
    <w:p>
      <w:pPr>
        <w:pStyle w:val="ListParagraph"/>
        <w:numPr>
          <w:ilvl w:val="0"/>
          <w:numId w:val="2"/>
        </w:numPr>
        <w:spacing w:after="30" w:before="30" w:line="264"/>
      </w:pPr>
      <w:r>
        <w:rPr>
          <w:rFonts w:ascii="Calibri" w:cs="Calibri" w:eastAsia="Calibri" w:hAnsi="Calibri"/>
          <w:b/>
          <w:bCs/>
          <w:i w:val="false"/>
          <w:iCs w:val="false"/>
          <w:sz w:val="20"/>
          <w:szCs w:val="20"/>
        </w:rPr>
        <w:t xml:space="preserve">Within week 1</w:t>
      </w:r>
      <w:r>
        <w:rPr>
          <w:rFonts w:ascii="Calibri" w:cs="Calibri" w:eastAsia="Calibri" w:hAnsi="Calibri"/>
          <w:b w:val="false"/>
          <w:bCs w:val="false"/>
          <w:i w:val="false"/>
          <w:iCs w:val="false"/>
          <w:sz w:val="20"/>
          <w:szCs w:val="20"/>
        </w:rPr>
        <w:t xml:space="preserve"> — the store and car park file for the estate, sufficient to type sites by format and parking capacity.</w:t>
      </w:r>
    </w:p>
    <w:p>
      <w:pPr>
        <w:pStyle w:val="ListParagraph"/>
        <w:numPr>
          <w:ilvl w:val="0"/>
          <w:numId w:val="2"/>
        </w:numPr>
        <w:spacing w:after="30" w:before="30" w:line="264"/>
      </w:pPr>
      <w:r>
        <w:rPr>
          <w:rFonts w:ascii="Calibri" w:cs="Calibri" w:eastAsia="Calibri" w:hAnsi="Calibri"/>
          <w:b/>
          <w:bCs/>
          <w:i w:val="false"/>
          <w:iCs w:val="false"/>
          <w:sz w:val="20"/>
          <w:szCs w:val="20"/>
        </w:rPr>
        <w:t xml:space="preserve">Weeks 2 to 4</w:t>
      </w:r>
      <w:r>
        <w:rPr>
          <w:rFonts w:ascii="Calibri" w:cs="Calibri" w:eastAsia="Calibri" w:hAnsi="Calibri"/>
          <w:b w:val="false"/>
          <w:bCs w:val="false"/>
          <w:i w:val="false"/>
          <w:iCs w:val="false"/>
          <w:sz w:val="20"/>
          <w:szCs w:val="20"/>
        </w:rPr>
        <w:t xml:space="preserve"> — site access and the operational permissions required for the Module M1 measurement at 6 to 10 nominated sites.</w:t>
      </w:r>
    </w:p>
    <w:p>
      <w:pPr>
        <w:spacing w:after="60" w:before="60" w:line="264"/>
      </w:pPr>
      <w:r>
        <w:rPr>
          <w:rFonts w:ascii="Calibri" w:cs="Calibri" w:eastAsia="Calibri" w:hAnsi="Calibri"/>
          <w:b/>
          <w:bCs/>
          <w:i w:val="false"/>
          <w:iCs w:val="false"/>
          <w:sz w:val="20"/>
          <w:szCs w:val="20"/>
        </w:rPr>
        <w:t xml:space="preserve">5.3 </w:t>
      </w:r>
      <w:r>
        <w:rPr>
          <w:rFonts w:ascii="Calibri" w:cs="Calibri" w:eastAsia="Calibri" w:hAnsi="Calibri"/>
          <w:b w:val="false"/>
          <w:bCs w:val="false"/>
          <w:i w:val="false"/>
          <w:iCs w:val="false"/>
          <w:sz w:val="20"/>
          <w:szCs w:val="20"/>
        </w:rPr>
        <w:t xml:space="preserve">The Consultant is not liable for delay caused by the Client's late input. Each day of delay in an input listed at Clause 5.2 extends the affected milestone and the delivery date by one day, without a Change Order being required. Where a delay obliges the Consultant to stand by or to redo work, the additional effort is charged at EUR 2,000 per senior day, agreed in advance in writing. A delay is never absorbed by reducing the depth of the analysis.</w:t>
      </w:r>
    </w:p>
    <w:p>
      <w:pPr>
        <w:pStyle w:val="Heading1"/>
        <w:keepNext/>
        <w:spacing w:after="100" w:before="260"/>
      </w:pPr>
      <w:r>
        <w:rPr>
          <w:rFonts w:ascii="Calibri" w:cs="Calibri" w:eastAsia="Calibri" w:hAnsi="Calibri"/>
          <w:b/>
          <w:bCs/>
          <w:color w:val="1F3864"/>
          <w:sz w:val="22"/>
          <w:szCs w:val="22"/>
        </w:rPr>
        <w:t xml:space="preserve">6. Confidentiality</w:t>
      </w:r>
    </w:p>
    <w:p>
      <w:pPr>
        <w:spacing w:after="60" w:before="60" w:line="264"/>
      </w:pPr>
      <w:r>
        <w:rPr>
          <w:rFonts w:ascii="Calibri" w:cs="Calibri" w:eastAsia="Calibri" w:hAnsi="Calibri"/>
          <w:b/>
          <w:bCs/>
          <w:i w:val="false"/>
          <w:iCs w:val="false"/>
          <w:sz w:val="20"/>
          <w:szCs w:val="20"/>
        </w:rPr>
        <w:t xml:space="preserve">6.1 </w:t>
      </w:r>
      <w:r>
        <w:rPr>
          <w:rFonts w:ascii="Calibri" w:cs="Calibri" w:eastAsia="Calibri" w:hAnsi="Calibri"/>
          <w:b w:val="false"/>
          <w:bCs w:val="false"/>
          <w:i w:val="false"/>
          <w:iCs w:val="false"/>
          <w:sz w:val="20"/>
          <w:szCs w:val="20"/>
        </w:rPr>
        <w:t xml:space="preserve">Each Party will keep the other's Confidential Information secret, use it only for the engagement, and protect it with reasonable care. This survives termination for </w:t>
      </w:r>
      <w:r>
        <w:rPr>
          <w:rFonts w:ascii="Calibri" w:cs="Calibri" w:eastAsia="Calibri" w:hAnsi="Calibri"/>
          <w:b/>
          <w:bCs/>
          <w:i w:val="false"/>
          <w:iCs w:val="false"/>
          <w:sz w:val="20"/>
          <w:szCs w:val="20"/>
        </w:rPr>
        <w:t xml:space="preserve">3 years</w:t>
      </w:r>
      <w:r>
        <w:rPr>
          <w:rFonts w:ascii="Calibri" w:cs="Calibri" w:eastAsia="Calibri" w:hAnsi="Calibri"/>
          <w:b w:val="false"/>
          <w:bCs w:val="false"/>
          <w:i w:val="false"/>
          <w:iCs w:val="false"/>
          <w:sz w:val="20"/>
          <w:szCs w:val="20"/>
        </w:rPr>
        <w:t xml:space="preserve">, and indefinitely for trade secrets. The Client's Confidential Information includes, without limitation, the lease and concession terms, the lessee data obtained under Clause 5.2, and the store and car park file.</w:t>
      </w:r>
    </w:p>
    <w:p>
      <w:pPr>
        <w:spacing w:after="60" w:before="60" w:line="264"/>
      </w:pPr>
      <w:r>
        <w:rPr>
          <w:rFonts w:ascii="Calibri" w:cs="Calibri" w:eastAsia="Calibri" w:hAnsi="Calibri"/>
          <w:b/>
          <w:bCs/>
          <w:i w:val="false"/>
          <w:iCs w:val="false"/>
          <w:sz w:val="20"/>
          <w:szCs w:val="20"/>
        </w:rPr>
        <w:t xml:space="preserve">6.2 </w:t>
      </w:r>
      <w:r>
        <w:rPr>
          <w:rFonts w:ascii="Calibri" w:cs="Calibri" w:eastAsia="Calibri" w:hAnsi="Calibri"/>
          <w:b w:val="false"/>
          <w:bCs w:val="false"/>
          <w:i w:val="false"/>
          <w:iCs w:val="false"/>
          <w:sz w:val="20"/>
          <w:szCs w:val="20"/>
        </w:rPr>
        <w:t xml:space="preserve">Excludes information that is public, independently developed, or lawfully received from a third party. Disclosure required by law is permitted, with prior notice where lawful.</w:t>
      </w:r>
    </w:p>
    <w:p>
      <w:pPr>
        <w:spacing w:after="60" w:before="60" w:line="264"/>
      </w:pPr>
      <w:r>
        <w:rPr>
          <w:rFonts w:ascii="Calibri" w:cs="Calibri" w:eastAsia="Calibri" w:hAnsi="Calibri"/>
          <w:b/>
          <w:bCs/>
          <w:i w:val="false"/>
          <w:iCs w:val="false"/>
          <w:sz w:val="20"/>
          <w:szCs w:val="20"/>
        </w:rPr>
        <w:t xml:space="preserve">6.3 </w:t>
      </w:r>
      <w:r>
        <w:rPr>
          <w:rFonts w:ascii="Calibri" w:cs="Calibri" w:eastAsia="Calibri" w:hAnsi="Calibri"/>
          <w:b/>
          <w:bCs/>
          <w:i w:val="false"/>
          <w:iCs w:val="false"/>
          <w:sz w:val="20"/>
          <w:szCs w:val="20"/>
        </w:rPr>
        <w:t xml:space="preserve">Publicity.</w:t>
      </w:r>
      <w:r>
        <w:rPr>
          <w:rFonts w:ascii="Calibri" w:cs="Calibri" w:eastAsia="Calibri" w:hAnsi="Calibri"/>
          <w:b w:val="false"/>
          <w:bCs w:val="false"/>
          <w:i w:val="false"/>
          <w:iCs w:val="false"/>
          <w:sz w:val="20"/>
          <w:szCs w:val="20"/>
        </w:rPr>
        <w:t xml:space="preserve"> The Consultant will not name the Client, or use the engagement as a reference, without the Client's prior written consent. Any reuse under Clause 7.3 must not permit identification of the Client, its sites, its countries in scope, its lessees or any transaction.</w:t>
      </w:r>
    </w:p>
    <w:p>
      <w:pPr>
        <w:pStyle w:val="Heading1"/>
        <w:keepNext/>
        <w:spacing w:after="100" w:before="260"/>
      </w:pPr>
      <w:r>
        <w:rPr>
          <w:rFonts w:ascii="Calibri" w:cs="Calibri" w:eastAsia="Calibri" w:hAnsi="Calibri"/>
          <w:b/>
          <w:bCs/>
          <w:color w:val="1F3864"/>
          <w:sz w:val="22"/>
          <w:szCs w:val="22"/>
        </w:rPr>
        <w:t xml:space="preserve">7. Intellectual Property</w:t>
      </w:r>
    </w:p>
    <w:p>
      <w:pPr>
        <w:spacing w:after="60" w:before="60" w:line="264"/>
      </w:pPr>
      <w:r>
        <w:rPr>
          <w:rFonts w:ascii="Calibri" w:cs="Calibri" w:eastAsia="Calibri" w:hAnsi="Calibri"/>
          <w:b/>
          <w:bCs/>
          <w:i w:val="false"/>
          <w:iCs w:val="false"/>
          <w:sz w:val="20"/>
          <w:szCs w:val="20"/>
        </w:rPr>
        <w:t xml:space="preserve">7.1 </w:t>
      </w:r>
      <w:r>
        <w:rPr>
          <w:rFonts w:ascii="Calibri" w:cs="Calibri" w:eastAsia="Calibri" w:hAnsi="Calibri"/>
          <w:b/>
          <w:bCs/>
          <w:i w:val="false"/>
          <w:iCs w:val="false"/>
          <w:sz w:val="20"/>
          <w:szCs w:val="20"/>
        </w:rPr>
        <w:t xml:space="preserve">Background IP</w:t>
      </w:r>
      <w:r>
        <w:rPr>
          <w:rFonts w:ascii="Calibri" w:cs="Calibri" w:eastAsia="Calibri" w:hAnsi="Calibri"/>
          <w:b w:val="false"/>
          <w:bCs w:val="false"/>
          <w:i w:val="false"/>
          <w:iCs w:val="false"/>
          <w:sz w:val="20"/>
          <w:szCs w:val="20"/>
        </w:rPr>
        <w:t xml:space="preserve"> remains each Party's property.</w:t>
      </w:r>
    </w:p>
    <w:p>
      <w:pPr>
        <w:spacing w:after="60" w:before="60" w:line="264"/>
      </w:pPr>
      <w:r>
        <w:rPr>
          <w:rFonts w:ascii="Calibri" w:cs="Calibri" w:eastAsia="Calibri" w:hAnsi="Calibri"/>
          <w:b/>
          <w:bCs/>
          <w:i w:val="false"/>
          <w:iCs w:val="false"/>
          <w:sz w:val="20"/>
          <w:szCs w:val="20"/>
        </w:rPr>
        <w:t xml:space="preserve">7.2 </w:t>
      </w:r>
      <w:r>
        <w:rPr>
          <w:rFonts w:ascii="Calibri" w:cs="Calibri" w:eastAsia="Calibri" w:hAnsi="Calibri"/>
          <w:b/>
          <w:bCs/>
          <w:i w:val="false"/>
          <w:iCs w:val="false"/>
          <w:sz w:val="20"/>
          <w:szCs w:val="20"/>
        </w:rPr>
        <w:t xml:space="preserve">Assignment.</w:t>
      </w:r>
      <w:r>
        <w:rPr>
          <w:rFonts w:ascii="Calibri" w:cs="Calibri" w:eastAsia="Calibri" w:hAnsi="Calibri"/>
          <w:b w:val="false"/>
          <w:bCs w:val="false"/>
          <w:i w:val="false"/>
          <w:iCs w:val="false"/>
          <w:sz w:val="20"/>
          <w:szCs w:val="20"/>
        </w:rPr>
        <w:t xml:space="preserve"> On payment of all undisputed amounts due, the Consultant assigns to the Client, for the legal term of protection and for the world, the rights of reproduction, representation, adaptation, modification, translation and distribution in the final Deliverables prepared specifically for the Client, in all media known at the date of this Agreement, the consideration being included in the fee at Clause 4.1 (Article L.131-3 of the French Code de la propriété intellectuelle). From delivery until that assignment takes effect, the Client holds a non-exclusive licence to use the Deliverables for internal review.</w:t>
      </w:r>
    </w:p>
    <w:p>
      <w:pPr>
        <w:spacing w:after="60" w:before="60" w:line="264"/>
      </w:pPr>
      <w:r>
        <w:rPr>
          <w:rFonts w:ascii="Calibri" w:cs="Calibri" w:eastAsia="Calibri" w:hAnsi="Calibri"/>
          <w:b/>
          <w:bCs/>
          <w:i w:val="false"/>
          <w:iCs w:val="false"/>
          <w:sz w:val="20"/>
          <w:szCs w:val="20"/>
        </w:rPr>
        <w:t xml:space="preserve">7.3 </w:t>
      </w:r>
      <w:r>
        <w:rPr>
          <w:rFonts w:ascii="Calibri" w:cs="Calibri" w:eastAsia="Calibri" w:hAnsi="Calibri"/>
          <w:b/>
          <w:bCs/>
          <w:i w:val="false"/>
          <w:iCs w:val="false"/>
          <w:sz w:val="20"/>
          <w:szCs w:val="20"/>
        </w:rPr>
        <w:t xml:space="preserve">Carve-out.</w:t>
      </w:r>
      <w:r>
        <w:rPr>
          <w:rFonts w:ascii="Calibri" w:cs="Calibri" w:eastAsia="Calibri" w:hAnsi="Calibri"/>
          <w:b w:val="false"/>
          <w:bCs w:val="false"/>
          <w:i w:val="false"/>
          <w:iCs w:val="false"/>
          <w:sz w:val="20"/>
          <w:szCs w:val="20"/>
        </w:rPr>
        <w:t xml:space="preserve"> The assignment excludes the Consultant's pre-existing methods, tools, frameworks and know-how, for which the Consultant grants the Client a non-exclusive, perpetual, worldwide licence to use them as embedded in the Deliverables for the internal business purposes of the Client and its affiliates, including disclosure to their officers, employees, professional advisers and implementation partners under equivalent confidentiality obligations. The Consultant may retain and reuse its general skills, know-how and anonymised learnings, subject to Clause 6.3.</w:t>
      </w:r>
    </w:p>
    <w:p>
      <w:pPr>
        <w:spacing w:after="60" w:before="60" w:line="264"/>
      </w:pPr>
      <w:r>
        <w:rPr>
          <w:rFonts w:ascii="Calibri" w:cs="Calibri" w:eastAsia="Calibri" w:hAnsi="Calibri"/>
          <w:b/>
          <w:bCs/>
          <w:i w:val="false"/>
          <w:iCs w:val="false"/>
          <w:sz w:val="20"/>
          <w:szCs w:val="20"/>
        </w:rPr>
        <w:t xml:space="preserve">7.4 </w:t>
      </w:r>
      <w:r>
        <w:rPr>
          <w:rFonts w:ascii="Calibri" w:cs="Calibri" w:eastAsia="Calibri" w:hAnsi="Calibri"/>
          <w:b w:val="false"/>
          <w:bCs w:val="false"/>
          <w:i w:val="false"/>
          <w:iCs w:val="false"/>
          <w:sz w:val="20"/>
          <w:szCs w:val="20"/>
        </w:rPr>
        <w:t xml:space="preserve">Third-party and licensed data used in the model is identified in the source lines. The Client's use of that data remains subject to the relevant third-party terms; the Consultant grants no rights it does not hold.</w:t>
      </w:r>
    </w:p>
    <w:p>
      <w:pPr>
        <w:pStyle w:val="Heading1"/>
        <w:keepNext/>
        <w:spacing w:after="100" w:before="260"/>
      </w:pPr>
      <w:r>
        <w:rPr>
          <w:rFonts w:ascii="Calibri" w:cs="Calibri" w:eastAsia="Calibri" w:hAnsi="Calibri"/>
          <w:b/>
          <w:bCs/>
          <w:color w:val="1F3864"/>
          <w:sz w:val="22"/>
          <w:szCs w:val="22"/>
        </w:rPr>
        <w:t xml:space="preserve">8. Independent Contractor</w:t>
      </w:r>
    </w:p>
    <w:p>
      <w:pPr>
        <w:spacing w:after="60" w:before="60" w:line="264"/>
      </w:pPr>
      <w:r>
        <w:rPr>
          <w:rFonts w:ascii="Calibri" w:cs="Calibri" w:eastAsia="Calibri" w:hAnsi="Calibri"/>
          <w:b/>
          <w:bCs/>
          <w:i w:val="false"/>
          <w:iCs w:val="false"/>
          <w:sz w:val="20"/>
          <w:szCs w:val="20"/>
        </w:rPr>
        <w:t xml:space="preserve">8.1 </w:t>
      </w:r>
      <w:r>
        <w:rPr>
          <w:rFonts w:ascii="Calibri" w:cs="Calibri" w:eastAsia="Calibri" w:hAnsi="Calibri"/>
          <w:b w:val="false"/>
          <w:bCs w:val="false"/>
          <w:i w:val="false"/>
          <w:iCs w:val="false"/>
          <w:sz w:val="20"/>
          <w:szCs w:val="20"/>
        </w:rPr>
        <w:t xml:space="preserve">The Consultant acts as an independent contractor, not an employee, agent or partner of the Client. Each Party bears its own taxes and social contributions. Nothing in this Agreement creates a relationship of subordination.</w:t>
      </w:r>
    </w:p>
    <w:p>
      <w:pPr>
        <w:pStyle w:val="Heading1"/>
        <w:keepNext/>
        <w:spacing w:after="100" w:before="260"/>
      </w:pPr>
      <w:r>
        <w:rPr>
          <w:rFonts w:ascii="Calibri" w:cs="Calibri" w:eastAsia="Calibri" w:hAnsi="Calibri"/>
          <w:b/>
          <w:bCs/>
          <w:color w:val="1F3864"/>
          <w:sz w:val="22"/>
          <w:szCs w:val="22"/>
        </w:rPr>
        <w:t xml:space="preserve">9. Warranties and Limitation of Liability</w:t>
      </w:r>
    </w:p>
    <w:p>
      <w:pPr>
        <w:spacing w:after="60" w:before="60" w:line="264"/>
      </w:pPr>
      <w:r>
        <w:rPr>
          <w:rFonts w:ascii="Calibri" w:cs="Calibri" w:eastAsia="Calibri" w:hAnsi="Calibri"/>
          <w:b/>
          <w:bCs/>
          <w:i w:val="false"/>
          <w:iCs w:val="false"/>
          <w:sz w:val="20"/>
          <w:szCs w:val="20"/>
        </w:rPr>
        <w:t xml:space="preserve">9.1 </w:t>
      </w:r>
      <w:r>
        <w:rPr>
          <w:rFonts w:ascii="Calibri" w:cs="Calibri" w:eastAsia="Calibri" w:hAnsi="Calibri"/>
          <w:b w:val="false"/>
          <w:bCs w:val="false"/>
          <w:i w:val="false"/>
          <w:iCs w:val="false"/>
          <w:sz w:val="20"/>
          <w:szCs w:val="20"/>
        </w:rPr>
        <w:t xml:space="preserve">The Consultant will perform the Services with the skill and care reasonably expected of an experienced independent strategy consultant providing comparable services. The Consultant's obligation is one of means, not of result (</w:t>
      </w:r>
      <w:r>
        <w:rPr>
          <w:rFonts w:ascii="Calibri" w:cs="Calibri" w:eastAsia="Calibri" w:hAnsi="Calibri"/>
          <w:b/>
          <w:bCs/>
          <w:i w:val="false"/>
          <w:iCs w:val="false"/>
          <w:sz w:val="20"/>
          <w:szCs w:val="20"/>
        </w:rPr>
        <w:t xml:space="preserve">obligation de moyens</w:t>
      </w:r>
      <w:r>
        <w:rPr>
          <w:rFonts w:ascii="Calibri" w:cs="Calibri" w:eastAsia="Calibri" w:hAnsi="Calibri"/>
          <w:b w:val="false"/>
          <w:bCs w:val="false"/>
          <w:i w:val="false"/>
          <w:iCs w:val="false"/>
          <w:sz w:val="20"/>
          <w:szCs w:val="20"/>
        </w:rPr>
        <w:t xml:space="preserve">).</w:t>
      </w:r>
    </w:p>
    <w:p>
      <w:pPr>
        <w:spacing w:after="60" w:before="60" w:line="264"/>
      </w:pPr>
      <w:r>
        <w:rPr>
          <w:rFonts w:ascii="Calibri" w:cs="Calibri" w:eastAsia="Calibri" w:hAnsi="Calibri"/>
          <w:b/>
          <w:bCs/>
          <w:i w:val="false"/>
          <w:iCs w:val="false"/>
          <w:sz w:val="20"/>
          <w:szCs w:val="20"/>
        </w:rPr>
        <w:t xml:space="preserve">9.2 </w:t>
      </w:r>
      <w:r>
        <w:rPr>
          <w:rFonts w:ascii="Calibri" w:cs="Calibri" w:eastAsia="Calibri" w:hAnsi="Calibri"/>
          <w:b/>
          <w:bCs/>
          <w:i w:val="false"/>
          <w:iCs w:val="false"/>
          <w:sz w:val="20"/>
          <w:szCs w:val="20"/>
        </w:rPr>
        <w:t xml:space="preserve">Disclaimer.</w:t>
      </w:r>
      <w:r>
        <w:rPr>
          <w:rFonts w:ascii="Calibri" w:cs="Calibri" w:eastAsia="Calibri" w:hAnsi="Calibri"/>
          <w:b w:val="false"/>
          <w:bCs w:val="false"/>
          <w:i w:val="false"/>
          <w:iCs w:val="false"/>
          <w:sz w:val="20"/>
          <w:szCs w:val="20"/>
        </w:rPr>
        <w:t xml:space="preserve"> Except as expressly stated, the Services and Deliverables are provided without other warranties. Recommendations are advisory; the capital decision, its implementation and its consequences remain the Client's. The Consultant does not warrant the completeness or accuracy of third-party, public or Client-supplied data, and reports weak evidence as such rather than compensating for it.</w:t>
      </w:r>
    </w:p>
    <w:p>
      <w:pPr>
        <w:spacing w:after="60" w:before="60" w:line="264"/>
      </w:pPr>
      <w:r>
        <w:rPr>
          <w:rFonts w:ascii="Calibri" w:cs="Calibri" w:eastAsia="Calibri" w:hAnsi="Calibri"/>
          <w:b/>
          <w:bCs/>
          <w:i w:val="false"/>
          <w:iCs w:val="false"/>
          <w:sz w:val="20"/>
          <w:szCs w:val="20"/>
        </w:rPr>
        <w:t xml:space="preserve">9.3 </w:t>
      </w:r>
      <w:r>
        <w:rPr>
          <w:rFonts w:ascii="Calibri" w:cs="Calibri" w:eastAsia="Calibri" w:hAnsi="Calibri"/>
          <w:b/>
          <w:bCs/>
          <w:i w:val="false"/>
          <w:iCs w:val="false"/>
          <w:sz w:val="20"/>
          <w:szCs w:val="20"/>
        </w:rPr>
        <w:t xml:space="preserve">Cap.</w:t>
      </w:r>
      <w:r>
        <w:rPr>
          <w:rFonts w:ascii="Calibri" w:cs="Calibri" w:eastAsia="Calibri" w:hAnsi="Calibri"/>
          <w:b w:val="false"/>
          <w:bCs w:val="false"/>
          <w:i w:val="false"/>
          <w:iCs w:val="false"/>
          <w:sz w:val="20"/>
          <w:szCs w:val="20"/>
        </w:rPr>
        <w:t xml:space="preserve"> To the maximum extent permitted by law, each Party's aggregate liability under this Agreement is limited to </w:t>
      </w:r>
      <w:r>
        <w:rPr>
          <w:rFonts w:ascii="Calibri" w:cs="Calibri" w:eastAsia="Calibri" w:hAnsi="Calibri"/>
          <w:b/>
          <w:bCs/>
          <w:i w:val="false"/>
          <w:iCs w:val="false"/>
          <w:sz w:val="20"/>
          <w:szCs w:val="20"/>
        </w:rPr>
        <w:t xml:space="preserve">EUR 94,000</w:t>
      </w:r>
      <w:r>
        <w:rPr>
          <w:rFonts w:ascii="Calibri" w:cs="Calibri" w:eastAsia="Calibri" w:hAnsi="Calibri"/>
          <w:b w:val="false"/>
          <w:bCs w:val="false"/>
          <w:i w:val="false"/>
          <w:iCs w:val="false"/>
          <w:sz w:val="20"/>
          <w:szCs w:val="20"/>
        </w:rPr>
        <w:t xml:space="preserve">, being the total fees payable under Clause 4.1; and neither Party is liable for indirect or consequential loss, or loss of profit or revenue. This limitation does not apply to: the Client's obligations to pay fees, approved expenses, field costs and late-payment interest; breach of Clause 6 (confidentiality); breach of Clause 12 (data protection); infringement of a third party's intellectual property; or liability that cannot be limited by law, including fraud, wilful misconduct, gross negligence, death or personal injury.</w:t>
      </w:r>
    </w:p>
    <w:p>
      <w:pPr>
        <w:spacing w:after="60" w:before="60" w:line="264"/>
      </w:pPr>
      <w:r>
        <w:rPr>
          <w:rFonts w:ascii="Calibri" w:cs="Calibri" w:eastAsia="Calibri" w:hAnsi="Calibri"/>
          <w:b/>
          <w:bCs/>
          <w:i w:val="false"/>
          <w:iCs w:val="false"/>
          <w:sz w:val="20"/>
          <w:szCs w:val="20"/>
        </w:rPr>
        <w:t xml:space="preserve">9.4 </w:t>
      </w:r>
      <w:r>
        <w:rPr>
          <w:rFonts w:ascii="Calibri" w:cs="Calibri" w:eastAsia="Calibri" w:hAnsi="Calibri"/>
          <w:b w:val="false"/>
          <w:bCs w:val="false"/>
          <w:i w:val="false"/>
          <w:iCs w:val="false"/>
          <w:sz w:val="20"/>
          <w:szCs w:val="20"/>
        </w:rPr>
        <w:t xml:space="preserve">The Consultant maintains professional indemnity insurance with a limit of </w:t>
      </w:r>
      <w:r>
        <w:rPr>
          <w:rFonts w:ascii="Calibri" w:cs="Calibri" w:eastAsia="Calibri" w:hAnsi="Calibri"/>
          <w:b w:val="false"/>
          <w:bCs w:val="false"/>
          <w:i w:val="false"/>
          <w:iCs w:val="false"/>
          <w:sz w:val="20"/>
          <w:szCs w:val="20"/>
          <w:highlight w:val="yellow"/>
          <w:highlightCs w:val="yellow"/>
        </w:rPr>
        <w:t xml:space="preserve">[amount]</w:t>
      </w:r>
      <w:r>
        <w:rPr>
          <w:rFonts w:ascii="Calibri" w:cs="Calibri" w:eastAsia="Calibri" w:hAnsi="Calibri"/>
          <w:b w:val="false"/>
          <w:bCs w:val="false"/>
          <w:i w:val="false"/>
          <w:iCs w:val="false"/>
          <w:sz w:val="20"/>
          <w:szCs w:val="20"/>
        </w:rPr>
        <w:t xml:space="preserve"> per claim with </w:t>
      </w:r>
      <w:r>
        <w:rPr>
          <w:rFonts w:ascii="Calibri" w:cs="Calibri" w:eastAsia="Calibri" w:hAnsi="Calibri"/>
          <w:b w:val="false"/>
          <w:bCs w:val="false"/>
          <w:i w:val="false"/>
          <w:iCs w:val="false"/>
          <w:sz w:val="20"/>
          <w:szCs w:val="20"/>
          <w:highlight w:val="yellow"/>
          <w:highlightCs w:val="yellow"/>
        </w:rPr>
        <w:t xml:space="preserve">[insurer]</w:t>
      </w:r>
      <w:r>
        <w:rPr>
          <w:rFonts w:ascii="Calibri" w:cs="Calibri" w:eastAsia="Calibri" w:hAnsi="Calibri"/>
          <w:b w:val="false"/>
          <w:bCs w:val="false"/>
          <w:i w:val="false"/>
          <w:iCs w:val="false"/>
          <w:sz w:val="20"/>
          <w:szCs w:val="20"/>
        </w:rPr>
        <w:t xml:space="preserve">, throughout the period of performance; a certificate is available on request.</w:t>
      </w:r>
    </w:p>
    <w:p>
      <w:pPr>
        <w:pStyle w:val="Heading1"/>
        <w:keepNext/>
        <w:spacing w:after="100" w:before="260"/>
      </w:pPr>
      <w:r>
        <w:rPr>
          <w:rFonts w:ascii="Calibri" w:cs="Calibri" w:eastAsia="Calibri" w:hAnsi="Calibri"/>
          <w:b/>
          <w:bCs/>
          <w:color w:val="1F3864"/>
          <w:sz w:val="22"/>
          <w:szCs w:val="22"/>
        </w:rPr>
        <w:t xml:space="preserve">10. Key Person, Continuity and Conflicts</w:t>
      </w:r>
    </w:p>
    <w:p>
      <w:pPr>
        <w:spacing w:after="60" w:before="60" w:line="264"/>
      </w:pPr>
      <w:r>
        <w:rPr>
          <w:rFonts w:ascii="Calibri" w:cs="Calibri" w:eastAsia="Calibri" w:hAnsi="Calibri"/>
          <w:b/>
          <w:bCs/>
          <w:i w:val="false"/>
          <w:iCs w:val="false"/>
          <w:sz w:val="20"/>
          <w:szCs w:val="20"/>
        </w:rPr>
        <w:t xml:space="preserve">10.1 </w:t>
      </w:r>
      <w:r>
        <w:rPr>
          <w:rFonts w:ascii="Calibri" w:cs="Calibri" w:eastAsia="Calibri" w:hAnsi="Calibri"/>
          <w:b w:val="false"/>
          <w:bCs w:val="false"/>
          <w:i w:val="false"/>
          <w:iCs w:val="false"/>
          <w:sz w:val="20"/>
          <w:szCs w:val="20"/>
        </w:rPr>
        <w:t xml:space="preserve">The Services are performed personally by </w:t>
      </w:r>
      <w:r>
        <w:rPr>
          <w:rFonts w:ascii="Calibri" w:cs="Calibri" w:eastAsia="Calibri" w:hAnsi="Calibri"/>
          <w:b/>
          <w:bCs/>
          <w:i w:val="false"/>
          <w:iCs w:val="false"/>
          <w:sz w:val="20"/>
          <w:szCs w:val="20"/>
        </w:rPr>
        <w:t xml:space="preserve">Jean-Christophe Lanoix</w:t>
      </w:r>
      <w:r>
        <w:rPr>
          <w:rFonts w:ascii="Calibri" w:cs="Calibri" w:eastAsia="Calibri" w:hAnsi="Calibri"/>
          <w:b w:val="false"/>
          <w:bCs w:val="false"/>
          <w:i w:val="false"/>
          <w:iCs w:val="false"/>
          <w:sz w:val="20"/>
          <w:szCs w:val="20"/>
        </w:rPr>
        <w:t xml:space="preserve">, end to end, as the Client's single point of contact from framing to Board readout. The Consultant will not substitute another individual without the Client's prior written consent, not to be unreasonably withheld or delayed; in an emergency the Consultant may substitute temporarily on written notice given as soon as practicable.</w:t>
      </w:r>
    </w:p>
    <w:p>
      <w:pPr>
        <w:spacing w:after="60" w:before="60" w:line="264"/>
      </w:pPr>
      <w:r>
        <w:rPr>
          <w:rFonts w:ascii="Calibri" w:cs="Calibri" w:eastAsia="Calibri" w:hAnsi="Calibri"/>
          <w:b/>
          <w:bCs/>
          <w:i w:val="false"/>
          <w:iCs w:val="false"/>
          <w:sz w:val="20"/>
          <w:szCs w:val="20"/>
        </w:rPr>
        <w:t xml:space="preserve">10.2 </w:t>
      </w:r>
      <w:r>
        <w:rPr>
          <w:rFonts w:ascii="Calibri" w:cs="Calibri" w:eastAsia="Calibri" w:hAnsi="Calibri"/>
          <w:b w:val="false"/>
          <w:bCs w:val="false"/>
          <w:i w:val="false"/>
          <w:iCs w:val="false"/>
          <w:sz w:val="20"/>
          <w:szCs w:val="20"/>
        </w:rPr>
        <w:t xml:space="preserve">An associate of equivalent seniority, identified to the Client at kick-off and bound by written confidentiality obligations no less protective than Clause 6, is briefed at kick-off and holds read access to the working files throughout, so that the engagement does not stop if the principal becomes unavailable.</w:t>
      </w:r>
    </w:p>
    <w:p>
      <w:pPr>
        <w:spacing w:after="60" w:before="60" w:line="264"/>
      </w:pPr>
      <w:r>
        <w:rPr>
          <w:rFonts w:ascii="Calibri" w:cs="Calibri" w:eastAsia="Calibri" w:hAnsi="Calibri"/>
          <w:b/>
          <w:bCs/>
          <w:i w:val="false"/>
          <w:iCs w:val="false"/>
          <w:sz w:val="20"/>
          <w:szCs w:val="20"/>
        </w:rPr>
        <w:t xml:space="preserve">10.3 </w:t>
      </w:r>
      <w:r>
        <w:rPr>
          <w:rFonts w:ascii="Calibri" w:cs="Calibri" w:eastAsia="Calibri" w:hAnsi="Calibri"/>
          <w:b w:val="false"/>
          <w:bCs w:val="false"/>
          <w:i w:val="false"/>
          <w:iCs w:val="false"/>
          <w:sz w:val="20"/>
          <w:szCs w:val="20"/>
        </w:rPr>
        <w:t xml:space="preserve">Two contingency days are held inside the plan and are </w:t>
      </w:r>
      <w:r>
        <w:rPr>
          <w:rFonts w:ascii="Calibri" w:cs="Calibri" w:eastAsia="Calibri" w:hAnsi="Calibri"/>
          <w:b/>
          <w:bCs/>
          <w:i w:val="false"/>
          <w:iCs w:val="false"/>
          <w:sz w:val="20"/>
          <w:szCs w:val="20"/>
        </w:rPr>
        <w:t xml:space="preserve">not billed</w:t>
      </w:r>
      <w:r>
        <w:rPr>
          <w:rFonts w:ascii="Calibri" w:cs="Calibri" w:eastAsia="Calibri" w:hAnsi="Calibri"/>
          <w:b w:val="false"/>
          <w:bCs w:val="false"/>
          <w:i w:val="false"/>
          <w:iCs w:val="false"/>
          <w:sz w:val="20"/>
          <w:szCs w:val="20"/>
        </w:rPr>
        <w:t xml:space="preserve">.</w:t>
      </w:r>
    </w:p>
    <w:p>
      <w:pPr>
        <w:spacing w:after="60" w:before="60" w:line="264"/>
      </w:pPr>
      <w:r>
        <w:rPr>
          <w:rFonts w:ascii="Calibri" w:cs="Calibri" w:eastAsia="Calibri" w:hAnsi="Calibri"/>
          <w:b/>
          <w:bCs/>
          <w:i w:val="false"/>
          <w:iCs w:val="false"/>
          <w:sz w:val="20"/>
          <w:szCs w:val="20"/>
        </w:rPr>
        <w:t xml:space="preserve">10.4 </w:t>
      </w:r>
      <w:r>
        <w:rPr>
          <w:rFonts w:ascii="Calibri" w:cs="Calibri" w:eastAsia="Calibri" w:hAnsi="Calibri"/>
          <w:b w:val="false"/>
          <w:bCs w:val="false"/>
          <w:i w:val="false"/>
          <w:iCs w:val="false"/>
          <w:sz w:val="20"/>
          <w:szCs w:val="20"/>
        </w:rPr>
        <w:t xml:space="preserve">The Consultant confirms no competing engagement claims capacity within the period of performance, and will not accept an engagement on EV charging strategy from a direct competitor of the Client during that period without prior written disclosure to, and consent of, the Client.</w:t>
      </w:r>
    </w:p>
    <w:p>
      <w:pPr>
        <w:pStyle w:val="Heading1"/>
        <w:keepNext/>
        <w:spacing w:after="100" w:before="260"/>
      </w:pPr>
      <w:r>
        <w:rPr>
          <w:rFonts w:ascii="Calibri" w:cs="Calibri" w:eastAsia="Calibri" w:hAnsi="Calibri"/>
          <w:b/>
          <w:bCs/>
          <w:color w:val="1F3864"/>
          <w:sz w:val="22"/>
          <w:szCs w:val="22"/>
        </w:rPr>
        <w:t xml:space="preserve">11. Termination</w:t>
      </w:r>
    </w:p>
    <w:p>
      <w:pPr>
        <w:spacing w:after="60" w:before="60" w:line="264"/>
      </w:pPr>
      <w:r>
        <w:rPr>
          <w:rFonts w:ascii="Calibri" w:cs="Calibri" w:eastAsia="Calibri" w:hAnsi="Calibri"/>
          <w:b/>
          <w:bCs/>
          <w:i w:val="false"/>
          <w:iCs w:val="false"/>
          <w:sz w:val="20"/>
          <w:szCs w:val="20"/>
        </w:rPr>
        <w:t xml:space="preserve">11.1 </w:t>
      </w:r>
      <w:r>
        <w:rPr>
          <w:rFonts w:ascii="Calibri" w:cs="Calibri" w:eastAsia="Calibri" w:hAnsi="Calibri"/>
          <w:b w:val="false"/>
          <w:bCs w:val="false"/>
          <w:i w:val="false"/>
          <w:iCs w:val="false"/>
          <w:sz w:val="20"/>
          <w:szCs w:val="20"/>
        </w:rPr>
        <w:t xml:space="preserve">Either Party may terminate for convenience on </w:t>
      </w:r>
      <w:r>
        <w:rPr>
          <w:rFonts w:ascii="Calibri" w:cs="Calibri" w:eastAsia="Calibri" w:hAnsi="Calibri"/>
          <w:b/>
          <w:bCs/>
          <w:i w:val="false"/>
          <w:iCs w:val="false"/>
          <w:sz w:val="20"/>
          <w:szCs w:val="20"/>
        </w:rPr>
        <w:t xml:space="preserve">30 days'</w:t>
      </w:r>
      <w:r>
        <w:rPr>
          <w:rFonts w:ascii="Calibri" w:cs="Calibri" w:eastAsia="Calibri" w:hAnsi="Calibri"/>
          <w:b w:val="false"/>
          <w:bCs w:val="false"/>
          <w:i w:val="false"/>
          <w:iCs w:val="false"/>
          <w:sz w:val="20"/>
          <w:szCs w:val="20"/>
        </w:rPr>
        <w:t xml:space="preserve"> written notice.</w:t>
      </w:r>
    </w:p>
    <w:p>
      <w:pPr>
        <w:spacing w:after="60" w:before="60" w:line="264"/>
      </w:pPr>
      <w:r>
        <w:rPr>
          <w:rFonts w:ascii="Calibri" w:cs="Calibri" w:eastAsia="Calibri" w:hAnsi="Calibri"/>
          <w:b/>
          <w:bCs/>
          <w:i w:val="false"/>
          <w:iCs w:val="false"/>
          <w:sz w:val="20"/>
          <w:szCs w:val="20"/>
        </w:rPr>
        <w:t xml:space="preserve">11.2 </w:t>
      </w:r>
      <w:r>
        <w:rPr>
          <w:rFonts w:ascii="Calibri" w:cs="Calibri" w:eastAsia="Calibri" w:hAnsi="Calibri"/>
          <w:b w:val="false"/>
          <w:bCs w:val="false"/>
          <w:i w:val="false"/>
          <w:iCs w:val="false"/>
          <w:sz w:val="20"/>
          <w:szCs w:val="20"/>
        </w:rPr>
        <w:t xml:space="preserve">Either Party may terminate immediately for the other's material breach not cured within </w:t>
      </w:r>
      <w:r>
        <w:rPr>
          <w:rFonts w:ascii="Calibri" w:cs="Calibri" w:eastAsia="Calibri" w:hAnsi="Calibri"/>
          <w:b/>
          <w:bCs/>
          <w:i w:val="false"/>
          <w:iCs w:val="false"/>
          <w:sz w:val="20"/>
          <w:szCs w:val="20"/>
        </w:rPr>
        <w:t xml:space="preserve">15 days</w:t>
      </w:r>
      <w:r>
        <w:rPr>
          <w:rFonts w:ascii="Calibri" w:cs="Calibri" w:eastAsia="Calibri" w:hAnsi="Calibri"/>
          <w:b w:val="false"/>
          <w:bCs w:val="false"/>
          <w:i w:val="false"/>
          <w:iCs w:val="false"/>
          <w:sz w:val="20"/>
          <w:szCs w:val="20"/>
        </w:rPr>
        <w:t xml:space="preserve"> of written notice, or on the other's insolvency.</w:t>
      </w:r>
    </w:p>
    <w:p>
      <w:pPr>
        <w:spacing w:after="60" w:before="60" w:line="264"/>
      </w:pPr>
      <w:r>
        <w:rPr>
          <w:rFonts w:ascii="Calibri" w:cs="Calibri" w:eastAsia="Calibri" w:hAnsi="Calibri"/>
          <w:b/>
          <w:bCs/>
          <w:i w:val="false"/>
          <w:iCs w:val="false"/>
          <w:sz w:val="20"/>
          <w:szCs w:val="20"/>
        </w:rPr>
        <w:t xml:space="preserve">11.3 </w:t>
      </w:r>
      <w:r>
        <w:rPr>
          <w:rFonts w:ascii="Calibri" w:cs="Calibri" w:eastAsia="Calibri" w:hAnsi="Calibri"/>
          <w:b w:val="false"/>
          <w:bCs w:val="false"/>
          <w:i w:val="false"/>
          <w:iCs w:val="false"/>
          <w:sz w:val="20"/>
          <w:szCs w:val="20"/>
        </w:rPr>
        <w:t xml:space="preserve">On termination the Client pays: (a) senior days performed to the termination date at EUR 2,000 per day; (b) expenses and field costs incurred or irrevocably committed to that date; and (c) where the Client terminates for convenience after kick-off, the balance of any milestone already triggered under Clause 4.4, the reserved capacity being non-cancellable once a milestone has triggered. Amounts under (a) to (c) together do not exceed EUR 94,000 plus expenses. Clauses 4, 6, 7, 9, 11.3, 12, 16.1 and any accrued rights survive.</w:t>
      </w:r>
    </w:p>
    <w:p>
      <w:pPr>
        <w:pStyle w:val="Heading1"/>
        <w:keepNext/>
        <w:spacing w:after="100" w:before="260"/>
      </w:pPr>
      <w:r>
        <w:rPr>
          <w:rFonts w:ascii="Calibri" w:cs="Calibri" w:eastAsia="Calibri" w:hAnsi="Calibri"/>
          <w:b/>
          <w:bCs/>
          <w:color w:val="1F3864"/>
          <w:sz w:val="22"/>
          <w:szCs w:val="22"/>
        </w:rPr>
        <w:t xml:space="preserve">12. Data Protection</w:t>
      </w:r>
    </w:p>
    <w:p>
      <w:pPr>
        <w:spacing w:after="60" w:before="60" w:line="264"/>
      </w:pPr>
      <w:r>
        <w:rPr>
          <w:rFonts w:ascii="Calibri" w:cs="Calibri" w:eastAsia="Calibri" w:hAnsi="Calibri"/>
          <w:b/>
          <w:bCs/>
          <w:i w:val="false"/>
          <w:iCs w:val="false"/>
          <w:sz w:val="20"/>
          <w:szCs w:val="20"/>
        </w:rPr>
        <w:t xml:space="preserve">12.1 </w:t>
      </w:r>
      <w:r>
        <w:rPr>
          <w:rFonts w:ascii="Calibri" w:cs="Calibri" w:eastAsia="Calibri" w:hAnsi="Calibri"/>
          <w:b w:val="false"/>
          <w:bCs w:val="false"/>
          <w:i w:val="false"/>
          <w:iCs w:val="false"/>
          <w:sz w:val="20"/>
          <w:szCs w:val="20"/>
        </w:rPr>
        <w:t xml:space="preserve">Each Party complies with applicable data-protection law, including Regulation (EU) 2016/679 (GDPR).</w:t>
      </w:r>
    </w:p>
    <w:p>
      <w:pPr>
        <w:spacing w:after="60" w:before="60" w:line="264"/>
      </w:pPr>
      <w:r>
        <w:rPr>
          <w:rFonts w:ascii="Calibri" w:cs="Calibri" w:eastAsia="Calibri" w:hAnsi="Calibri"/>
          <w:b/>
          <w:bCs/>
          <w:i w:val="false"/>
          <w:iCs w:val="false"/>
          <w:sz w:val="20"/>
          <w:szCs w:val="20"/>
        </w:rPr>
        <w:t xml:space="preserve">12.2 </w:t>
      </w:r>
      <w:r>
        <w:rPr>
          <w:rFonts w:ascii="Calibri" w:cs="Calibri" w:eastAsia="Calibri" w:hAnsi="Calibri"/>
          <w:b w:val="false"/>
          <w:bCs w:val="false"/>
          <w:i w:val="false"/>
          <w:iCs w:val="false"/>
          <w:sz w:val="20"/>
          <w:szCs w:val="20"/>
        </w:rPr>
        <w:t xml:space="preserve">The Parties intend the engagement to run on anonymised or aggregated data. The Module M1 measurement will not record vehicle registration plates, images of identifiable individuals, or employee-level data. Where the Consultant would process personal data on the Client's behalf, the Parties will identify their respective roles and put a data-processing agreement in place — covering security measures, sub-processors, retention and deletion — </w:t>
      </w:r>
      <w:r>
        <w:rPr>
          <w:rFonts w:ascii="Calibri" w:cs="Calibri" w:eastAsia="Calibri" w:hAnsi="Calibri"/>
          <w:b/>
          <w:bCs/>
          <w:i w:val="false"/>
          <w:iCs w:val="false"/>
          <w:sz w:val="20"/>
          <w:szCs w:val="20"/>
        </w:rPr>
        <w:t xml:space="preserve">before</w:t>
      </w:r>
      <w:r>
        <w:rPr>
          <w:rFonts w:ascii="Calibri" w:cs="Calibri" w:eastAsia="Calibri" w:hAnsi="Calibri"/>
          <w:b w:val="false"/>
          <w:bCs w:val="false"/>
          <w:i w:val="false"/>
          <w:iCs w:val="false"/>
          <w:sz w:val="20"/>
          <w:szCs w:val="20"/>
        </w:rPr>
        <w:t xml:space="preserve"> that processing begins.</w:t>
      </w:r>
    </w:p>
    <w:p>
      <w:pPr>
        <w:pStyle w:val="Heading1"/>
        <w:keepNext/>
        <w:spacing w:after="100" w:before="260"/>
      </w:pPr>
      <w:r>
        <w:rPr>
          <w:rFonts w:ascii="Calibri" w:cs="Calibri" w:eastAsia="Calibri" w:hAnsi="Calibri"/>
          <w:b/>
          <w:bCs/>
          <w:color w:val="1F3864"/>
          <w:sz w:val="22"/>
          <w:szCs w:val="22"/>
        </w:rPr>
        <w:t xml:space="preserve">13. Non-Solicitation</w:t>
      </w:r>
    </w:p>
    <w:p>
      <w:pPr>
        <w:spacing w:after="60" w:before="60" w:line="264"/>
      </w:pPr>
      <w:r>
        <w:rPr>
          <w:rFonts w:ascii="Calibri" w:cs="Calibri" w:eastAsia="Calibri" w:hAnsi="Calibri"/>
          <w:b/>
          <w:bCs/>
          <w:i w:val="false"/>
          <w:iCs w:val="false"/>
          <w:sz w:val="20"/>
          <w:szCs w:val="20"/>
        </w:rPr>
        <w:t xml:space="preserve">13.1 </w:t>
      </w:r>
      <w:r>
        <w:rPr>
          <w:rFonts w:ascii="Calibri" w:cs="Calibri" w:eastAsia="Calibri" w:hAnsi="Calibri"/>
          <w:b w:val="false"/>
          <w:bCs w:val="false"/>
          <w:i w:val="false"/>
          <w:iCs w:val="false"/>
          <w:sz w:val="20"/>
          <w:szCs w:val="20"/>
        </w:rPr>
        <w:t xml:space="preserve">During the engagement and for </w:t>
      </w:r>
      <w:r>
        <w:rPr>
          <w:rFonts w:ascii="Calibri" w:cs="Calibri" w:eastAsia="Calibri" w:hAnsi="Calibri"/>
          <w:b/>
          <w:bCs/>
          <w:i w:val="false"/>
          <w:iCs w:val="false"/>
          <w:sz w:val="20"/>
          <w:szCs w:val="20"/>
        </w:rPr>
        <w:t xml:space="preserve">12 months</w:t>
      </w:r>
      <w:r>
        <w:rPr>
          <w:rFonts w:ascii="Calibri" w:cs="Calibri" w:eastAsia="Calibri" w:hAnsi="Calibri"/>
          <w:b w:val="false"/>
          <w:bCs w:val="false"/>
          <w:i w:val="false"/>
          <w:iCs w:val="false"/>
          <w:sz w:val="20"/>
          <w:szCs w:val="20"/>
        </w:rPr>
        <w:t xml:space="preserve"> after, neither Party will knowingly solicit for employment the other's personnel directly involved in the Services. This does not restrict general advertising, nor the hiring of a person who applies on their own initiative without solicitation.</w:t>
      </w:r>
    </w:p>
    <w:p>
      <w:pPr>
        <w:pStyle w:val="Heading1"/>
        <w:keepNext/>
        <w:spacing w:after="100" w:before="260"/>
      </w:pPr>
      <w:r>
        <w:rPr>
          <w:rFonts w:ascii="Calibri" w:cs="Calibri" w:eastAsia="Calibri" w:hAnsi="Calibri"/>
          <w:b/>
          <w:bCs/>
          <w:color w:val="1F3864"/>
          <w:sz w:val="22"/>
          <w:szCs w:val="22"/>
        </w:rPr>
        <w:t xml:space="preserve">14. Anti-Corruption and Compliance</w:t>
      </w:r>
    </w:p>
    <w:p>
      <w:pPr>
        <w:spacing w:after="60" w:before="60" w:line="264"/>
      </w:pPr>
      <w:r>
        <w:rPr>
          <w:rFonts w:ascii="Calibri" w:cs="Calibri" w:eastAsia="Calibri" w:hAnsi="Calibri"/>
          <w:b/>
          <w:bCs/>
          <w:i w:val="false"/>
          <w:iCs w:val="false"/>
          <w:sz w:val="20"/>
          <w:szCs w:val="20"/>
        </w:rPr>
        <w:t xml:space="preserve">14.1 </w:t>
      </w:r>
      <w:r>
        <w:rPr>
          <w:rFonts w:ascii="Calibri" w:cs="Calibri" w:eastAsia="Calibri" w:hAnsi="Calibri"/>
          <w:b w:val="false"/>
          <w:bCs w:val="false"/>
          <w:i w:val="false"/>
          <w:iCs w:val="false"/>
          <w:sz w:val="20"/>
          <w:szCs w:val="20"/>
        </w:rPr>
        <w:t xml:space="preserve">Each Party represents that it complies with applicable anti-bribery, anti-corruption and international sanctions law, including the French Loi n° 2016-1691 (Sapin II), and will not offer, promise, give or accept anything of value to improperly influence any decision in connection with this Agreement.</w:t>
      </w:r>
    </w:p>
    <w:p>
      <w:pPr>
        <w:pStyle w:val="Heading1"/>
        <w:keepNext/>
        <w:spacing w:after="100" w:before="260"/>
      </w:pPr>
      <w:r>
        <w:rPr>
          <w:rFonts w:ascii="Calibri" w:cs="Calibri" w:eastAsia="Calibri" w:hAnsi="Calibri"/>
          <w:b/>
          <w:bCs/>
          <w:color w:val="1F3864"/>
          <w:sz w:val="22"/>
          <w:szCs w:val="22"/>
        </w:rPr>
        <w:t xml:space="preserve">15. Force Majeure</w:t>
      </w:r>
    </w:p>
    <w:p>
      <w:pPr>
        <w:spacing w:after="60" w:before="60" w:line="264"/>
      </w:pPr>
      <w:r>
        <w:rPr>
          <w:rFonts w:ascii="Calibri" w:cs="Calibri" w:eastAsia="Calibri" w:hAnsi="Calibri"/>
          <w:b/>
          <w:bCs/>
          <w:i w:val="false"/>
          <w:iCs w:val="false"/>
          <w:sz w:val="20"/>
          <w:szCs w:val="20"/>
        </w:rPr>
        <w:t xml:space="preserve">15.1 </w:t>
      </w:r>
      <w:r>
        <w:rPr>
          <w:rFonts w:ascii="Calibri" w:cs="Calibri" w:eastAsia="Calibri" w:hAnsi="Calibri"/>
          <w:b w:val="false"/>
          <w:bCs w:val="false"/>
          <w:i w:val="false"/>
          <w:iCs w:val="false"/>
          <w:sz w:val="20"/>
          <w:szCs w:val="20"/>
        </w:rPr>
        <w:t xml:space="preserve">Neither Party is liable for delay or failure caused by events beyond its reasonable control; the affected Party will notify the other promptly and mitigate. Where the event continues for more than </w:t>
      </w:r>
      <w:r>
        <w:rPr>
          <w:rFonts w:ascii="Calibri" w:cs="Calibri" w:eastAsia="Calibri" w:hAnsi="Calibri"/>
          <w:b/>
          <w:bCs/>
          <w:i w:val="false"/>
          <w:iCs w:val="false"/>
          <w:sz w:val="20"/>
          <w:szCs w:val="20"/>
        </w:rPr>
        <w:t xml:space="preserve">30 days</w:t>
      </w:r>
      <w:r>
        <w:rPr>
          <w:rFonts w:ascii="Calibri" w:cs="Calibri" w:eastAsia="Calibri" w:hAnsi="Calibri"/>
          <w:b w:val="false"/>
          <w:bCs w:val="false"/>
          <w:i w:val="false"/>
          <w:iCs w:val="false"/>
          <w:sz w:val="20"/>
          <w:szCs w:val="20"/>
        </w:rPr>
        <w:t xml:space="preserve">, either Party may terminate on written notice, with Clause 11.3 applying to amounts due.</w:t>
      </w:r>
    </w:p>
    <w:p>
      <w:pPr>
        <w:pStyle w:val="Heading1"/>
        <w:keepNext/>
        <w:spacing w:after="100" w:before="260"/>
      </w:pPr>
      <w:r>
        <w:rPr>
          <w:rFonts w:ascii="Calibri" w:cs="Calibri" w:eastAsia="Calibri" w:hAnsi="Calibri"/>
          <w:b/>
          <w:bCs/>
          <w:color w:val="1F3864"/>
          <w:sz w:val="22"/>
          <w:szCs w:val="22"/>
        </w:rPr>
        <w:t xml:space="preserve">16. General</w:t>
      </w:r>
    </w:p>
    <w:p>
      <w:pPr>
        <w:spacing w:after="60" w:before="60" w:line="264"/>
      </w:pPr>
      <w:r>
        <w:rPr>
          <w:rFonts w:ascii="Calibri" w:cs="Calibri" w:eastAsia="Calibri" w:hAnsi="Calibri"/>
          <w:b/>
          <w:bCs/>
          <w:i w:val="false"/>
          <w:iCs w:val="false"/>
          <w:sz w:val="20"/>
          <w:szCs w:val="20"/>
        </w:rPr>
        <w:t xml:space="preserve">16.1 </w:t>
      </w:r>
      <w:r>
        <w:rPr>
          <w:rFonts w:ascii="Calibri" w:cs="Calibri" w:eastAsia="Calibri" w:hAnsi="Calibri"/>
          <w:b/>
          <w:bCs/>
          <w:i w:val="false"/>
          <w:iCs w:val="false"/>
          <w:sz w:val="20"/>
          <w:szCs w:val="20"/>
        </w:rPr>
        <w:t xml:space="preserve">Governing law and jurisdiction.</w:t>
      </w:r>
      <w:r>
        <w:rPr>
          <w:rFonts w:ascii="Calibri" w:cs="Calibri" w:eastAsia="Calibri" w:hAnsi="Calibri"/>
          <w:b w:val="false"/>
          <w:bCs w:val="false"/>
          <w:i w:val="false"/>
          <w:iCs w:val="false"/>
          <w:sz w:val="20"/>
          <w:szCs w:val="20"/>
        </w:rPr>
        <w:t xml:space="preserve"> This Agreement is governed by </w:t>
      </w:r>
      <w:r>
        <w:rPr>
          <w:rFonts w:ascii="Calibri" w:cs="Calibri" w:eastAsia="Calibri" w:hAnsi="Calibri"/>
          <w:b/>
          <w:bCs/>
          <w:i w:val="false"/>
          <w:iCs w:val="false"/>
          <w:sz w:val="20"/>
          <w:szCs w:val="20"/>
        </w:rPr>
        <w:t xml:space="preserve">French law</w:t>
      </w:r>
      <w:r>
        <w:rPr>
          <w:rFonts w:ascii="Calibri" w:cs="Calibri" w:eastAsia="Calibri" w:hAnsi="Calibri"/>
          <w:b w:val="false"/>
          <w:bCs w:val="false"/>
          <w:i w:val="false"/>
          <w:iCs w:val="false"/>
          <w:sz w:val="20"/>
          <w:szCs w:val="20"/>
        </w:rPr>
        <w:t xml:space="preserve">, excluding its conflict-of-law rules. The </w:t>
      </w:r>
      <w:r>
        <w:rPr>
          <w:rFonts w:ascii="Calibri" w:cs="Calibri" w:eastAsia="Calibri" w:hAnsi="Calibri"/>
          <w:b/>
          <w:bCs/>
          <w:i w:val="false"/>
          <w:iCs w:val="false"/>
          <w:sz w:val="20"/>
          <w:szCs w:val="20"/>
        </w:rPr>
        <w:t xml:space="preserve">Tribunal de commerce de Dieppe</w:t>
      </w:r>
      <w:r>
        <w:rPr>
          <w:rFonts w:ascii="Calibri" w:cs="Calibri" w:eastAsia="Calibri" w:hAnsi="Calibri"/>
          <w:b w:val="false"/>
          <w:bCs w:val="false"/>
          <w:i w:val="false"/>
          <w:iCs w:val="false"/>
          <w:sz w:val="20"/>
          <w:szCs w:val="20"/>
        </w:rPr>
        <w:t xml:space="preserve"> has exclusive jurisdiction over any dispute relating to the validity, interpretation, performance or termination of this Agreement, including interim proceedings, warranty claims and cases of multiple defendants.</w:t>
      </w:r>
    </w:p>
    <w:p>
      <w:pPr>
        <w:spacing w:after="60" w:before="60" w:line="264"/>
      </w:pPr>
      <w:r>
        <w:rPr>
          <w:rFonts w:ascii="Calibri" w:cs="Calibri" w:eastAsia="Calibri" w:hAnsi="Calibri"/>
          <w:b/>
          <w:bCs/>
          <w:i w:val="false"/>
          <w:iCs w:val="false"/>
          <w:sz w:val="20"/>
          <w:szCs w:val="20"/>
        </w:rPr>
        <w:t xml:space="preserve">16.2 </w:t>
      </w:r>
      <w:r>
        <w:rPr>
          <w:rFonts w:ascii="Calibri" w:cs="Calibri" w:eastAsia="Calibri" w:hAnsi="Calibri"/>
          <w:b/>
          <w:bCs/>
          <w:i w:val="false"/>
          <w:iCs w:val="false"/>
          <w:sz w:val="20"/>
          <w:szCs w:val="20"/>
        </w:rPr>
        <w:t xml:space="preserve">Language.</w:t>
      </w:r>
      <w:r>
        <w:rPr>
          <w:rFonts w:ascii="Calibri" w:cs="Calibri" w:eastAsia="Calibri" w:hAnsi="Calibri"/>
          <w:b w:val="false"/>
          <w:bCs w:val="false"/>
          <w:i w:val="false"/>
          <w:iCs w:val="false"/>
          <w:sz w:val="20"/>
          <w:szCs w:val="20"/>
        </w:rPr>
        <w:t xml:space="preserve"> This Agreement is executed in English. Any translation is for convenience; the English text prevails.</w:t>
      </w:r>
    </w:p>
    <w:p>
      <w:pPr>
        <w:spacing w:after="60" w:before="60" w:line="264"/>
      </w:pPr>
      <w:r>
        <w:rPr>
          <w:rFonts w:ascii="Calibri" w:cs="Calibri" w:eastAsia="Calibri" w:hAnsi="Calibri"/>
          <w:b/>
          <w:bCs/>
          <w:i w:val="false"/>
          <w:iCs w:val="false"/>
          <w:sz w:val="20"/>
          <w:szCs w:val="20"/>
        </w:rPr>
        <w:t xml:space="preserve">16.3 </w:t>
      </w:r>
      <w:r>
        <w:rPr>
          <w:rFonts w:ascii="Calibri" w:cs="Calibri" w:eastAsia="Calibri" w:hAnsi="Calibri"/>
          <w:b/>
          <w:bCs/>
          <w:i w:val="false"/>
          <w:iCs w:val="false"/>
          <w:sz w:val="20"/>
          <w:szCs w:val="20"/>
        </w:rPr>
        <w:t xml:space="preserve">Order of precedence.</w:t>
      </w:r>
      <w:r>
        <w:rPr>
          <w:rFonts w:ascii="Calibri" w:cs="Calibri" w:eastAsia="Calibri" w:hAnsi="Calibri"/>
          <w:b w:val="false"/>
          <w:bCs w:val="false"/>
          <w:i w:val="false"/>
          <w:iCs w:val="false"/>
          <w:sz w:val="20"/>
          <w:szCs w:val="20"/>
        </w:rPr>
        <w:t xml:space="preserve"> This Agreement and its Schedules are the entire agreement and supersede prior discussions. In case of conflict, </w:t>
      </w:r>
      <w:r>
        <w:rPr>
          <w:rFonts w:ascii="Calibri" w:cs="Calibri" w:eastAsia="Calibri" w:hAnsi="Calibri"/>
          <w:b/>
          <w:bCs/>
          <w:i w:val="false"/>
          <w:iCs w:val="false"/>
          <w:sz w:val="20"/>
          <w:szCs w:val="20"/>
        </w:rPr>
        <w:t xml:space="preserve">Schedule 1 governs the commercial terms</w:t>
      </w:r>
      <w:r>
        <w:rPr>
          <w:rFonts w:ascii="Calibri" w:cs="Calibri" w:eastAsia="Calibri" w:hAnsi="Calibri"/>
          <w:b w:val="false"/>
          <w:bCs w:val="false"/>
          <w:i w:val="false"/>
          <w:iCs w:val="false"/>
          <w:sz w:val="20"/>
          <w:szCs w:val="20"/>
        </w:rPr>
        <w:t xml:space="preserve"> — scope, effort, fees, milestones and deliverables — and </w:t>
      </w:r>
      <w:r>
        <w:rPr>
          <w:rFonts w:ascii="Calibri" w:cs="Calibri" w:eastAsia="Calibri" w:hAnsi="Calibri"/>
          <w:b/>
          <w:bCs/>
          <w:i w:val="false"/>
          <w:iCs w:val="false"/>
          <w:sz w:val="20"/>
          <w:szCs w:val="20"/>
        </w:rPr>
        <w:t xml:space="preserve">this Agreement governs the legal terms</w:t>
      </w:r>
      <w:r>
        <w:rPr>
          <w:rFonts w:ascii="Calibri" w:cs="Calibri" w:eastAsia="Calibri" w:hAnsi="Calibri"/>
          <w:b w:val="false"/>
          <w:bCs w:val="false"/>
          <w:i w:val="false"/>
          <w:iCs w:val="false"/>
          <w:sz w:val="20"/>
          <w:szCs w:val="20"/>
        </w:rPr>
        <w:t xml:space="preserve">, except where this Agreement expressly records an agreed amendment to the proposal, as it does at Clauses 1.2 and 2.2.</w:t>
      </w:r>
    </w:p>
    <w:p>
      <w:pPr>
        <w:spacing w:after="60" w:before="60" w:line="264"/>
      </w:pPr>
      <w:r>
        <w:rPr>
          <w:rFonts w:ascii="Calibri" w:cs="Calibri" w:eastAsia="Calibri" w:hAnsi="Calibri"/>
          <w:b/>
          <w:bCs/>
          <w:i w:val="false"/>
          <w:iCs w:val="false"/>
          <w:sz w:val="20"/>
          <w:szCs w:val="20"/>
        </w:rPr>
        <w:t xml:space="preserve">16.4 </w:t>
      </w:r>
      <w:r>
        <w:rPr>
          <w:rFonts w:ascii="Calibri" w:cs="Calibri" w:eastAsia="Calibri" w:hAnsi="Calibri"/>
          <w:b/>
          <w:bCs/>
          <w:i w:val="false"/>
          <w:iCs w:val="false"/>
          <w:sz w:val="20"/>
          <w:szCs w:val="20"/>
        </w:rPr>
        <w:t xml:space="preserve">Amendments.</w:t>
      </w:r>
      <w:r>
        <w:rPr>
          <w:rFonts w:ascii="Calibri" w:cs="Calibri" w:eastAsia="Calibri" w:hAnsi="Calibri"/>
          <w:b w:val="false"/>
          <w:bCs w:val="false"/>
          <w:i w:val="false"/>
          <w:iCs w:val="false"/>
          <w:sz w:val="20"/>
          <w:szCs w:val="20"/>
        </w:rPr>
        <w:t xml:space="preserve"> Only in writing signed by both Parties.</w:t>
      </w:r>
    </w:p>
    <w:p>
      <w:pPr>
        <w:spacing w:after="60" w:before="60" w:line="264"/>
      </w:pPr>
      <w:r>
        <w:rPr>
          <w:rFonts w:ascii="Calibri" w:cs="Calibri" w:eastAsia="Calibri" w:hAnsi="Calibri"/>
          <w:b/>
          <w:bCs/>
          <w:i w:val="false"/>
          <w:iCs w:val="false"/>
          <w:sz w:val="20"/>
          <w:szCs w:val="20"/>
        </w:rPr>
        <w:t xml:space="preserve">16.5 </w:t>
      </w:r>
      <w:r>
        <w:rPr>
          <w:rFonts w:ascii="Calibri" w:cs="Calibri" w:eastAsia="Calibri" w:hAnsi="Calibri"/>
          <w:b/>
          <w:bCs/>
          <w:i w:val="false"/>
          <w:iCs w:val="false"/>
          <w:sz w:val="20"/>
          <w:szCs w:val="20"/>
        </w:rPr>
        <w:t xml:space="preserve">Assignment.</w:t>
      </w:r>
      <w:r>
        <w:rPr>
          <w:rFonts w:ascii="Calibri" w:cs="Calibri" w:eastAsia="Calibri" w:hAnsi="Calibri"/>
          <w:b w:val="false"/>
          <w:bCs w:val="false"/>
          <w:i w:val="false"/>
          <w:iCs w:val="false"/>
          <w:sz w:val="20"/>
          <w:szCs w:val="20"/>
        </w:rPr>
        <w:t xml:space="preserve"> Neither Party may assign without the other's prior written consent (not unreasonably withheld).</w:t>
      </w:r>
    </w:p>
    <w:p>
      <w:pPr>
        <w:spacing w:after="60" w:before="60" w:line="264"/>
      </w:pPr>
      <w:r>
        <w:rPr>
          <w:rFonts w:ascii="Calibri" w:cs="Calibri" w:eastAsia="Calibri" w:hAnsi="Calibri"/>
          <w:b/>
          <w:bCs/>
          <w:i w:val="false"/>
          <w:iCs w:val="false"/>
          <w:sz w:val="20"/>
          <w:szCs w:val="20"/>
        </w:rPr>
        <w:t xml:space="preserve">16.6 </w:t>
      </w:r>
      <w:r>
        <w:rPr>
          <w:rFonts w:ascii="Calibri" w:cs="Calibri" w:eastAsia="Calibri" w:hAnsi="Calibri"/>
          <w:b/>
          <w:bCs/>
          <w:i w:val="false"/>
          <w:iCs w:val="false"/>
          <w:sz w:val="20"/>
          <w:szCs w:val="20"/>
        </w:rPr>
        <w:t xml:space="preserve">Notices.</w:t>
      </w:r>
      <w:r>
        <w:rPr>
          <w:rFonts w:ascii="Calibri" w:cs="Calibri" w:eastAsia="Calibri" w:hAnsi="Calibri"/>
          <w:b w:val="false"/>
          <w:bCs w:val="false"/>
          <w:i w:val="false"/>
          <w:iCs w:val="false"/>
          <w:sz w:val="20"/>
          <w:szCs w:val="20"/>
        </w:rPr>
        <w:t xml:space="preserve"> In writing to the addresses above, or as later notified. A notice by email takes effect on the addressee's acknowledgement, other than an automatic reply; a notice by registered post takes effect on the first business day after receipt.</w:t>
      </w:r>
    </w:p>
    <w:p>
      <w:pPr>
        <w:spacing w:after="60" w:before="60" w:line="264"/>
      </w:pPr>
      <w:r>
        <w:rPr>
          <w:rFonts w:ascii="Calibri" w:cs="Calibri" w:eastAsia="Calibri" w:hAnsi="Calibri"/>
          <w:b/>
          <w:bCs/>
          <w:i w:val="false"/>
          <w:iCs w:val="false"/>
          <w:sz w:val="20"/>
          <w:szCs w:val="20"/>
        </w:rPr>
        <w:t xml:space="preserve">16.7 </w:t>
      </w:r>
      <w:r>
        <w:rPr>
          <w:rFonts w:ascii="Calibri" w:cs="Calibri" w:eastAsia="Calibri" w:hAnsi="Calibri"/>
          <w:b/>
          <w:bCs/>
          <w:i w:val="false"/>
          <w:iCs w:val="false"/>
          <w:sz w:val="20"/>
          <w:szCs w:val="20"/>
        </w:rPr>
        <w:t xml:space="preserve">Severability.</w:t>
      </w:r>
      <w:r>
        <w:rPr>
          <w:rFonts w:ascii="Calibri" w:cs="Calibri" w:eastAsia="Calibri" w:hAnsi="Calibri"/>
          <w:b w:val="false"/>
          <w:bCs w:val="false"/>
          <w:i w:val="false"/>
          <w:iCs w:val="false"/>
          <w:sz w:val="20"/>
          <w:szCs w:val="20"/>
        </w:rPr>
        <w:t xml:space="preserve"> If a clause is unenforceable, the remainder stays in force.</w:t>
      </w:r>
    </w:p>
    <w:p>
      <w:pPr>
        <w:spacing w:after="60" w:before="60" w:line="264"/>
      </w:pPr>
      <w:r>
        <w:rPr>
          <w:rFonts w:ascii="Calibri" w:cs="Calibri" w:eastAsia="Calibri" w:hAnsi="Calibri"/>
          <w:b/>
          <w:bCs/>
          <w:i w:val="false"/>
          <w:iCs w:val="false"/>
          <w:sz w:val="20"/>
          <w:szCs w:val="20"/>
        </w:rPr>
        <w:t xml:space="preserve">16.8 </w:t>
      </w:r>
      <w:r>
        <w:rPr>
          <w:rFonts w:ascii="Calibri" w:cs="Calibri" w:eastAsia="Calibri" w:hAnsi="Calibri"/>
          <w:b/>
          <w:bCs/>
          <w:i w:val="false"/>
          <w:iCs w:val="false"/>
          <w:sz w:val="20"/>
          <w:szCs w:val="20"/>
        </w:rPr>
        <w:t xml:space="preserve">Counterparts / e-signature.</w:t>
      </w:r>
      <w:r>
        <w:rPr>
          <w:rFonts w:ascii="Calibri" w:cs="Calibri" w:eastAsia="Calibri" w:hAnsi="Calibri"/>
          <w:b w:val="false"/>
          <w:bCs w:val="false"/>
          <w:i w:val="false"/>
          <w:iCs w:val="false"/>
          <w:sz w:val="20"/>
          <w:szCs w:val="20"/>
        </w:rPr>
        <w:t xml:space="preserve"> May be signed in counterparts and electronically.</w:t>
      </w:r>
    </w:p>
    <w:p>
      <w:pPr>
        <w:pStyle w:val="Heading1"/>
        <w:keepNext/>
        <w:spacing w:after="100" w:before="260"/>
      </w:pPr>
      <w:r>
        <w:rPr>
          <w:rFonts w:ascii="Calibri" w:cs="Calibri" w:eastAsia="Calibri" w:hAnsi="Calibri"/>
          <w:b/>
          <w:bCs/>
          <w:color w:val="1F3864"/>
          <w:sz w:val="22"/>
          <w:szCs w:val="22"/>
        </w:rPr>
        <w:t xml:space="preserve">Signatures</w:t>
      </w:r>
    </w:p>
    <w:tbl>
      <w:tblPr>
        <w:tblW w:type="dxa" w:w="9300"/>
        <w:tblBorders>
          <w:top w:val="single" w:color="BFBFBF" w:sz="4"/>
          <w:left w:val="single" w:color="BFBFBF" w:sz="4"/>
          <w:bottom w:val="single" w:color="BFBFBF" w:sz="4"/>
          <w:right w:val="single" w:color="BFBFBF" w:sz="4"/>
          <w:insideH w:val="single" w:color="BFBFBF" w:sz="4"/>
          <w:insideV w:val="single" w:color="BFBFBF" w:sz="4"/>
        </w:tblBorders>
      </w:tblPr>
      <w:tblGrid>
        <w:gridCol w:w="4650"/>
        <w:gridCol w:w="4650"/>
      </w:tblGrid>
      <w:tr>
        <w:trPr>
          <w:tblHeader/>
        </w:trPr>
        <w:tc>
          <w:tcPr>
            <w:tcW w:type="dxa" w:w="465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For the Consultant — IPANEMA SAS</w:t>
            </w:r>
          </w:p>
        </w:tc>
        <w:tc>
          <w:tcPr>
            <w:tcW w:type="dxa" w:w="465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For the Client — Verdal Group</w:t>
            </w:r>
          </w:p>
        </w:tc>
      </w:tr>
      <w:tr>
        <w:trPr>
          <w:tblHeader w:val="false"/>
        </w:trPr>
        <w:tc>
          <w:tcPr>
            <w:tcW w:type="dxa" w:w="465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Signature: ________________</w:t>
            </w:r>
          </w:p>
          <w:p>
            <w:pPr>
              <w:spacing w:after="20" w:before="20" w:line="240"/>
            </w:pPr>
            <w:r>
              <w:rPr>
                <w:rFonts w:ascii="Calibri" w:cs="Calibri" w:eastAsia="Calibri" w:hAnsi="Calibri"/>
                <w:b w:val="false"/>
                <w:bCs w:val="false"/>
                <w:i w:val="false"/>
                <w:iCs w:val="false"/>
                <w:sz w:val="20"/>
                <w:szCs w:val="20"/>
              </w:rPr>
              <w:t xml:space="preserve"> </w:t>
            </w:r>
          </w:p>
          <w:p>
            <w:pPr>
              <w:spacing w:after="20" w:before="20" w:line="240"/>
            </w:pPr>
            <w:r>
              <w:rPr>
                <w:rFonts w:ascii="Calibri" w:cs="Calibri" w:eastAsia="Calibri" w:hAnsi="Calibri"/>
                <w:b w:val="false"/>
                <w:bCs w:val="false"/>
                <w:i w:val="false"/>
                <w:iCs w:val="false"/>
                <w:sz w:val="20"/>
                <w:szCs w:val="20"/>
              </w:rPr>
              <w:t xml:space="preserve">Name: Jean-Christophe Lanoix</w:t>
            </w:r>
          </w:p>
          <w:p>
            <w:pPr>
              <w:spacing w:after="20" w:before="20" w:line="240"/>
            </w:pPr>
            <w:r>
              <w:rPr>
                <w:rFonts w:ascii="Calibri" w:cs="Calibri" w:eastAsia="Calibri" w:hAnsi="Calibri"/>
                <w:b w:val="false"/>
                <w:bCs w:val="false"/>
                <w:i w:val="false"/>
                <w:iCs w:val="false"/>
                <w:sz w:val="20"/>
                <w:szCs w:val="20"/>
              </w:rPr>
              <w:t xml:space="preserve">Title: Président</w:t>
            </w:r>
          </w:p>
          <w:p>
            <w:pPr>
              <w:spacing w:after="20" w:before="20" w:line="240"/>
            </w:pPr>
            <w:r>
              <w:rPr>
                <w:rFonts w:ascii="Calibri" w:cs="Calibri" w:eastAsia="Calibri" w:hAnsi="Calibri"/>
                <w:b w:val="false"/>
                <w:bCs w:val="false"/>
                <w:i w:val="false"/>
                <w:iCs w:val="false"/>
                <w:sz w:val="20"/>
                <w:szCs w:val="20"/>
              </w:rPr>
              <w:t xml:space="preserve">Date: ________________</w:t>
            </w:r>
          </w:p>
        </w:tc>
        <w:tc>
          <w:tcPr>
            <w:tcW w:type="dxa" w:w="465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Signature: ________________</w:t>
            </w:r>
          </w:p>
          <w:p>
            <w:pPr>
              <w:spacing w:after="20" w:before="20" w:line="240"/>
            </w:pPr>
            <w:r>
              <w:rPr>
                <w:rFonts w:ascii="Calibri" w:cs="Calibri" w:eastAsia="Calibri" w:hAnsi="Calibri"/>
                <w:b w:val="false"/>
                <w:bCs w:val="false"/>
                <w:i w:val="false"/>
                <w:iCs w:val="false"/>
                <w:sz w:val="20"/>
                <w:szCs w:val="20"/>
              </w:rPr>
              <w:t xml:space="preserve"> </w:t>
            </w:r>
          </w:p>
          <w:p>
            <w:pPr>
              <w:spacing w:after="20" w:before="20" w:line="240"/>
            </w:pPr>
            <w:r>
              <w:rPr>
                <w:rFonts w:ascii="Calibri" w:cs="Calibri" w:eastAsia="Calibri" w:hAnsi="Calibri"/>
                <w:b w:val="false"/>
                <w:bCs w:val="false"/>
                <w:i w:val="false"/>
                <w:iCs w:val="false"/>
                <w:sz w:val="20"/>
                <w:szCs w:val="20"/>
              </w:rPr>
              <w:t xml:space="preserve">Name: </w:t>
            </w:r>
            <w:r>
              <w:rPr>
                <w:rFonts w:ascii="Calibri" w:cs="Calibri" w:eastAsia="Calibri" w:hAnsi="Calibri"/>
                <w:b w:val="false"/>
                <w:bCs w:val="false"/>
                <w:i w:val="false"/>
                <w:iCs w:val="false"/>
                <w:sz w:val="20"/>
                <w:szCs w:val="20"/>
                <w:highlight w:val="yellow"/>
                <w:highlightCs w:val="yellow"/>
              </w:rPr>
              <w:t xml:space="preserve">[ ]</w:t>
            </w:r>
          </w:p>
          <w:p>
            <w:pPr>
              <w:spacing w:after="20" w:before="20" w:line="240"/>
            </w:pPr>
            <w:r>
              <w:rPr>
                <w:rFonts w:ascii="Calibri" w:cs="Calibri" w:eastAsia="Calibri" w:hAnsi="Calibri"/>
                <w:b w:val="false"/>
                <w:bCs w:val="false"/>
                <w:i w:val="false"/>
                <w:iCs w:val="false"/>
                <w:sz w:val="20"/>
                <w:szCs w:val="20"/>
              </w:rPr>
              <w:t xml:space="preserve">Title: </w:t>
            </w:r>
            <w:r>
              <w:rPr>
                <w:rFonts w:ascii="Calibri" w:cs="Calibri" w:eastAsia="Calibri" w:hAnsi="Calibri"/>
                <w:b w:val="false"/>
                <w:bCs w:val="false"/>
                <w:i w:val="false"/>
                <w:iCs w:val="false"/>
                <w:sz w:val="20"/>
                <w:szCs w:val="20"/>
                <w:highlight w:val="yellow"/>
                <w:highlightCs w:val="yellow"/>
              </w:rPr>
              <w:t xml:space="preserve">[ ]</w:t>
            </w:r>
          </w:p>
          <w:p>
            <w:pPr>
              <w:spacing w:after="20" w:before="20" w:line="240"/>
            </w:pPr>
            <w:r>
              <w:rPr>
                <w:rFonts w:ascii="Calibri" w:cs="Calibri" w:eastAsia="Calibri" w:hAnsi="Calibri"/>
                <w:b w:val="false"/>
                <w:bCs w:val="false"/>
                <w:i w:val="false"/>
                <w:iCs w:val="false"/>
                <w:sz w:val="20"/>
                <w:szCs w:val="20"/>
              </w:rPr>
              <w:t xml:space="preserve">Date: ________________</w:t>
            </w:r>
          </w:p>
        </w:tc>
      </w:tr>
    </w:tbl>
    <w:p>
      <w:r>
        <w:br w:type="page"/>
      </w:r>
    </w:p>
    <w:p>
      <w:pPr>
        <w:pStyle w:val="Heading1"/>
        <w:keepNext/>
        <w:spacing w:after="100" w:before="260"/>
      </w:pPr>
      <w:r>
        <w:rPr>
          <w:rFonts w:ascii="Calibri" w:cs="Calibri" w:eastAsia="Calibri" w:hAnsi="Calibri"/>
          <w:b/>
          <w:bCs/>
          <w:color w:val="1F3864"/>
          <w:sz w:val="22"/>
          <w:szCs w:val="22"/>
        </w:rPr>
        <w:t xml:space="preserve">Schedule 1 — Statement of Work</w:t>
      </w:r>
    </w:p>
    <w:p>
      <w:pPr>
        <w:spacing w:after="60" w:before="60" w:line="264"/>
      </w:pPr>
      <w:r>
        <w:rPr>
          <w:rFonts w:ascii="Calibri" w:cs="Calibri" w:eastAsia="Calibri" w:hAnsi="Calibri"/>
          <w:b w:val="false"/>
          <w:bCs w:val="false"/>
          <w:i w:val="false"/>
          <w:iCs w:val="false"/>
          <w:sz w:val="20"/>
          <w:szCs w:val="20"/>
        </w:rPr>
        <w:t xml:space="preserve">The proposal “EV charging: strategic options” dated 29 July 2026 is attached and forms part of this Agreement. The table below restates its commercial terms.</w:t>
      </w:r>
    </w:p>
    <w:tbl>
      <w:tblPr>
        <w:tblW w:type="dxa" w:w="9300"/>
        <w:tblBorders>
          <w:top w:val="single" w:color="BFBFBF" w:sz="4"/>
          <w:left w:val="single" w:color="BFBFBF" w:sz="4"/>
          <w:bottom w:val="single" w:color="BFBFBF" w:sz="4"/>
          <w:right w:val="single" w:color="BFBFBF" w:sz="4"/>
          <w:insideH w:val="single" w:color="BFBFBF" w:sz="4"/>
          <w:insideV w:val="single" w:color="BFBFBF" w:sz="4"/>
        </w:tblBorders>
      </w:tblPr>
      <w:tblGrid>
        <w:gridCol w:w="1900"/>
        <w:gridCol w:w="7400"/>
      </w:tblGrid>
      <w:tr>
        <w:trPr>
          <w:tblHeader/>
        </w:trPr>
        <w:tc>
          <w:tcPr>
            <w:tcW w:type="dxa" w:w="19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Item</w:t>
            </w:r>
          </w:p>
        </w:tc>
        <w:tc>
          <w:tcPr>
            <w:tcW w:type="dxa" w:w="74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Agreed term</w:t>
            </w:r>
          </w:p>
        </w:tc>
      </w:tr>
      <w:tr>
        <w:trPr>
          <w:tblHeader w:val="false"/>
        </w:trPr>
        <w:tc>
          <w:tcPr>
            <w:tcW w:type="dxa" w:w="19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Scope in</w:t>
            </w:r>
          </w:p>
        </w:tc>
        <w:tc>
          <w:tcPr>
            <w:tcW w:type="dxa" w:w="74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WP1 Market · WP2 Segment · WP3 Geography · WP4 Competition · WP5 Entry mode · WP6 100-day plan · Module M1 (time parked, 6–10 sites) · Module M2 (concession and lease terms)</w:t>
            </w:r>
          </w:p>
        </w:tc>
      </w:tr>
      <w:tr>
        <w:trPr>
          <w:tblHeader w:val="false"/>
        </w:trPr>
        <w:tc>
          <w:tcPr>
            <w:tcW w:type="dxa" w:w="19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Scope out</w:t>
            </w:r>
          </w:p>
        </w:tc>
        <w:tc>
          <w:tcPr>
            <w:tcW w:type="dxa" w:w="74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Module M3 (basket effect, phase 2) and any till-data extract · implementation · execution · procurement · transaction support</w:t>
            </w:r>
          </w:p>
        </w:tc>
      </w:tr>
      <w:tr>
        <w:trPr>
          <w:tblHeader w:val="false"/>
        </w:trPr>
        <w:tc>
          <w:tcPr>
            <w:tcW w:type="dxa" w:w="19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Effort</w:t>
            </w:r>
          </w:p>
        </w:tc>
        <w:tc>
          <w:tcPr>
            <w:tcW w:type="dxa" w:w="74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47 senior days, plus 2 unbilled contingency days</w:t>
            </w:r>
          </w:p>
        </w:tc>
      </w:tr>
      <w:tr>
        <w:trPr>
          <w:tblHeader w:val="false"/>
        </w:trPr>
        <w:tc>
          <w:tcPr>
            <w:tcW w:type="dxa" w:w="19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Team</w:t>
            </w:r>
          </w:p>
        </w:tc>
        <w:tc>
          <w:tcPr>
            <w:tcW w:type="dxa" w:w="74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Jean-Christophe Lanoix, solo, end to end · associate identified at kick-off for continuity</w:t>
            </w:r>
          </w:p>
        </w:tc>
      </w:tr>
      <w:tr>
        <w:trPr>
          <w:tblHeader w:val="false"/>
        </w:trPr>
        <w:tc>
          <w:tcPr>
            <w:tcW w:type="dxa" w:w="19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Fee</w:t>
            </w:r>
          </w:p>
        </w:tc>
        <w:tc>
          <w:tcPr>
            <w:tcW w:type="dxa" w:w="74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EUR 94,000 excluding VAT (47 days × EUR 2,000/day)</w:t>
            </w:r>
          </w:p>
        </w:tc>
      </w:tr>
      <w:tr>
        <w:trPr>
          <w:tblHeader w:val="false"/>
        </w:trPr>
        <w:tc>
          <w:tcPr>
            <w:tcW w:type="dxa" w:w="19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Field costs</w:t>
            </w:r>
          </w:p>
        </w:tc>
        <w:tc>
          <w:tcPr>
            <w:tcW w:type="dxa" w:w="74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EUR 18,000–28,000 estimated for M1, excluded from the fee, passed through at cost, capped at EUR 28,000</w:t>
            </w:r>
          </w:p>
        </w:tc>
      </w:tr>
      <w:tr>
        <w:trPr>
          <w:tblHeader w:val="false"/>
        </w:trPr>
        <w:tc>
          <w:tcPr>
            <w:tcW w:type="dxa" w:w="19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Payment</w:t>
            </w:r>
          </w:p>
        </w:tc>
        <w:tc>
          <w:tcPr>
            <w:tcW w:type="dxa" w:w="74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30% kick-off · 30% interim review · 40% final delivery · 30 days from invoice date</w:t>
            </w:r>
          </w:p>
        </w:tc>
      </w:tr>
      <w:tr>
        <w:trPr>
          <w:tblHeader w:val="false"/>
        </w:trPr>
        <w:tc>
          <w:tcPr>
            <w:tcW w:type="dxa" w:w="19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Kick-off</w:t>
            </w:r>
          </w:p>
        </w:tc>
        <w:tc>
          <w:tcPr>
            <w:tcW w:type="dxa" w:w="74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4 August 2026</w:t>
            </w:r>
          </w:p>
        </w:tc>
      </w:tr>
      <w:tr>
        <w:trPr>
          <w:tblHeader w:val="false"/>
        </w:trPr>
        <w:tc>
          <w:tcPr>
            <w:tcW w:type="dxa" w:w="19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Interim review</w:t>
            </w:r>
          </w:p>
        </w:tc>
        <w:tc>
          <w:tcPr>
            <w:tcW w:type="dxa" w:w="74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8 September 2026 — WP1 and WP2 answers</w:t>
            </w:r>
          </w:p>
        </w:tc>
      </w:tr>
      <w:tr>
        <w:trPr>
          <w:tblHeader w:val="false"/>
        </w:trPr>
        <w:tc>
          <w:tcPr>
            <w:tcW w:type="dxa" w:w="19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Final delivery</w:t>
            </w:r>
          </w:p>
        </w:tc>
        <w:tc>
          <w:tcPr>
            <w:tcW w:type="dxa" w:w="7400"/>
            <w:shd w:fill="F2F5FA" w:val="clear"/>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14 October 2026 — D1 deck, D2 model, D3 one-page recommendation</w:t>
            </w:r>
          </w:p>
        </w:tc>
      </w:tr>
    </w:tbl>
    <w:p>
      <w:pPr>
        <w:pStyle w:val="Heading1"/>
        <w:keepNext/>
        <w:spacing w:after="100" w:before="260"/>
      </w:pPr>
      <w:r>
        <w:rPr>
          <w:rFonts w:ascii="Calibri" w:cs="Calibri" w:eastAsia="Calibri" w:hAnsi="Calibri"/>
          <w:b/>
          <w:bCs/>
          <w:color w:val="1F3864"/>
          <w:sz w:val="22"/>
          <w:szCs w:val="22"/>
        </w:rPr>
        <w:t xml:space="preserve">Schedule 2 — Priced option not taken up</w:t>
      </w:r>
    </w:p>
    <w:p>
      <w:pPr>
        <w:spacing w:after="60" w:before="60" w:line="264"/>
      </w:pPr>
      <w:r>
        <w:rPr>
          <w:rFonts w:ascii="Calibri" w:cs="Calibri" w:eastAsia="Calibri" w:hAnsi="Calibri"/>
          <w:b w:val="false"/>
          <w:bCs w:val="false"/>
          <w:i w:val="false"/>
          <w:iCs w:val="false"/>
          <w:sz w:val="20"/>
          <w:szCs w:val="20"/>
        </w:rPr>
        <w:t xml:space="preserve">The following was quoted in the proposal and is not included in the Services. It may be commissioned by Change Order under Clause 1.4 at the terms below.</w:t>
      </w:r>
    </w:p>
    <w:tbl>
      <w:tblPr>
        <w:tblW w:type="dxa" w:w="9300"/>
        <w:tblBorders>
          <w:top w:val="single" w:color="BFBFBF" w:sz="4"/>
          <w:left w:val="single" w:color="BFBFBF" w:sz="4"/>
          <w:bottom w:val="single" w:color="BFBFBF" w:sz="4"/>
          <w:right w:val="single" w:color="BFBFBF" w:sz="4"/>
          <w:insideH w:val="single" w:color="BFBFBF" w:sz="4"/>
          <w:insideV w:val="single" w:color="BFBFBF" w:sz="4"/>
        </w:tblBorders>
      </w:tblPr>
      <w:tblGrid>
        <w:gridCol w:w="1500"/>
        <w:gridCol w:w="4900"/>
        <w:gridCol w:w="1500"/>
        <w:gridCol w:w="1400"/>
      </w:tblGrid>
      <w:tr>
        <w:trPr>
          <w:tblHeader/>
        </w:trPr>
        <w:tc>
          <w:tcPr>
            <w:tcW w:type="dxa" w:w="15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Option</w:t>
            </w:r>
          </w:p>
        </w:tc>
        <w:tc>
          <w:tcPr>
            <w:tcW w:type="dxa" w:w="49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Content</w:t>
            </w:r>
          </w:p>
        </w:tc>
        <w:tc>
          <w:tcPr>
            <w:tcW w:type="dxa" w:w="1500"/>
            <w:shd w:fill="1F3864" w:val="clear"/>
            <w:tcMar>
              <w:top w:type="dxa" w:w="60"/>
              <w:left w:type="dxa" w:w="90"/>
              <w:bottom w:type="dxa" w:w="60"/>
              <w:right w:type="dxa" w:w="90"/>
            </w:tcMar>
          </w:tcPr>
          <w:p>
            <w:pPr>
              <w:spacing w:after="20" w:before="20" w:line="240"/>
            </w:pPr>
            <w:r>
              <w:rPr>
                <w:rFonts w:ascii="Calibri" w:cs="Calibri" w:eastAsia="Calibri" w:hAnsi="Calibri"/>
                <w:b/>
                <w:bCs/>
                <w:i w:val="false"/>
                <w:iCs w:val="false"/>
                <w:color w:val="FFFFFF"/>
                <w:sz w:val="18"/>
                <w:szCs w:val="18"/>
              </w:rPr>
              <w:t xml:space="preserve">Effort</w:t>
            </w:r>
          </w:p>
        </w:tc>
        <w:tc>
          <w:tcPr>
            <w:tcW w:type="dxa" w:w="1400"/>
            <w:shd w:fill="1F3864" w:val="clear"/>
            <w:tcMar>
              <w:top w:type="dxa" w:w="60"/>
              <w:left w:type="dxa" w:w="90"/>
              <w:bottom w:type="dxa" w:w="60"/>
              <w:right w:type="dxa" w:w="90"/>
            </w:tcMar>
          </w:tcPr>
          <w:p>
            <w:pPr>
              <w:spacing w:after="20" w:before="20" w:line="240"/>
              <w:jc w:val="right"/>
            </w:pPr>
            <w:r>
              <w:rPr>
                <w:rFonts w:ascii="Calibri" w:cs="Calibri" w:eastAsia="Calibri" w:hAnsi="Calibri"/>
                <w:b/>
                <w:bCs/>
                <w:i w:val="false"/>
                <w:iCs w:val="false"/>
                <w:color w:val="FFFFFF"/>
                <w:sz w:val="18"/>
                <w:szCs w:val="18"/>
              </w:rPr>
              <w:t xml:space="preserve">Fee excl. VAT</w:t>
            </w:r>
          </w:p>
        </w:tc>
      </w:tr>
      <w:tr>
        <w:trPr>
          <w:tblHeader w:val="false"/>
        </w:trPr>
        <w:tc>
          <w:tcPr>
            <w:tcW w:type="dxa" w:w="15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Module M3</w:t>
            </w:r>
          </w:p>
        </w:tc>
        <w:tc>
          <w:tcPr>
            <w:tcW w:type="dxa" w:w="49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Basket-effect measurement on the Client's anonymised till data, matched-control design, phase 2</w:t>
            </w:r>
          </w:p>
        </w:tc>
        <w:tc>
          <w:tcPr>
            <w:tcW w:type="dxa" w:w="1500"/>
            <w:tcMar>
              <w:top w:type="dxa" w:w="60"/>
              <w:left w:type="dxa" w:w="90"/>
              <w:bottom w:type="dxa" w:w="60"/>
              <w:right w:type="dxa" w:w="90"/>
            </w:tcMar>
          </w:tcPr>
          <w:p>
            <w:pPr>
              <w:spacing w:after="20" w:before="20" w:line="240"/>
            </w:pPr>
            <w:r>
              <w:rPr>
                <w:rFonts w:ascii="Calibri" w:cs="Calibri" w:eastAsia="Calibri" w:hAnsi="Calibri"/>
                <w:b w:val="false"/>
                <w:bCs w:val="false"/>
                <w:i w:val="false"/>
                <w:iCs w:val="false"/>
                <w:sz w:val="20"/>
                <w:szCs w:val="20"/>
              </w:rPr>
              <w:t xml:space="preserve">10 senior days</w:t>
            </w:r>
          </w:p>
        </w:tc>
        <w:tc>
          <w:tcPr>
            <w:tcW w:type="dxa" w:w="1400"/>
            <w:tcMar>
              <w:top w:type="dxa" w:w="60"/>
              <w:left w:type="dxa" w:w="90"/>
              <w:bottom w:type="dxa" w:w="60"/>
              <w:right w:type="dxa" w:w="90"/>
            </w:tcMar>
          </w:tcPr>
          <w:p>
            <w:pPr>
              <w:spacing w:after="20" w:before="20" w:line="240"/>
              <w:jc w:val="right"/>
            </w:pPr>
            <w:r>
              <w:rPr>
                <w:rFonts w:ascii="Calibri" w:cs="Calibri" w:eastAsia="Calibri" w:hAnsi="Calibri"/>
                <w:b w:val="false"/>
                <w:bCs w:val="false"/>
                <w:i w:val="false"/>
                <w:iCs w:val="false"/>
                <w:sz w:val="20"/>
                <w:szCs w:val="20"/>
              </w:rPr>
              <w:t xml:space="preserve">EUR 20,000</w:t>
            </w:r>
          </w:p>
        </w:tc>
      </w:tr>
    </w:tbl>
    <w:p>
      <w:pPr>
        <w:spacing w:after="60" w:before="120" w:line="264"/>
      </w:pPr>
      <w:r>
        <w:rPr>
          <w:rFonts w:ascii="Calibri" w:cs="Calibri" w:eastAsia="Calibri" w:hAnsi="Calibri"/>
          <w:b w:val="false"/>
          <w:bCs w:val="false"/>
          <w:i/>
          <w:iCs/>
          <w:sz w:val="20"/>
          <w:szCs w:val="20"/>
        </w:rPr>
        <w:t xml:space="preserve">The proposal identifies the basket effect as the gap that moves the answer most, on the least evidence. It cannot be closed by literature review; it needs the Client's till data. It is priced separately so the Client decides what that evidence is worth.</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b w:val="false"/>
        <w:bCs w:val="false"/>
        <w:i w:val="false"/>
        <w:iCs w:val="false"/>
        <w:color w:val="808080"/>
        <w:sz w:val="15"/>
        <w:szCs w:val="15"/>
      </w:rPr>
      <w:t xml:space="preserve">Not legal advice — to be reviewed by a qualified professional  ·  Page </w:t>
    </w:r>
    <w:r>
      <w:rPr>
        <w:rFonts w:ascii="Calibri" w:cs="Calibri" w:eastAsia="Calibri" w:hAnsi="Calibri"/>
        <w:color w:val="808080"/>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b w:val="false"/>
        <w:bCs w:val="false"/>
        <w:i w:val="false"/>
        <w:iCs w:val="false"/>
        <w:color w:val="808080"/>
        <w:sz w:val="15"/>
        <w:szCs w:val="15"/>
      </w:rPr>
      <w:t xml:space="preserve">Consulting Services Agreement — IPANEMA SAS / Verdal Group · DRAFT v3 · 27 July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00"/>
      </w:pPr>
      <w:rPr>
        <w:rFonts w:ascii="Calibri" w:cs="Calibri" w:eastAsia="Calibri" w:hAnsi="Calibri"/>
        <w:sz w:val="20"/>
        <w:szCs w:val="2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 — Verdal Group</dc:title>
  <dc:creator>IPANEMA SAS</dc:creator>
  <cp:lastModifiedBy>Un-named</cp:lastModifiedBy>
  <cp:revision>1</cp:revision>
  <dcterms:created xsi:type="dcterms:W3CDTF">2026-07-27T15:58:45.962Z</dcterms:created>
  <dcterms:modified xsi:type="dcterms:W3CDTF">2026-07-27T15:58:45.963Z</dcterms:modified>
</cp:coreProperties>
</file>

<file path=docProps/custom.xml><?xml version="1.0" encoding="utf-8"?>
<Properties xmlns="http://schemas.openxmlformats.org/officeDocument/2006/custom-properties" xmlns:vt="http://schemas.openxmlformats.org/officeDocument/2006/docPropsVTypes"/>
</file>