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X5e9b67e0b4e6dc0c12aea3a09a28712b71d5206"/>
    <w:p>
      <w:pPr>
        <w:pStyle w:val="Heading1"/>
      </w:pPr>
      <w:r>
        <w:t xml:space="preserve">REQUEST FOR PROPOSAL — EV Charging: Strategic Options</w:t>
      </w:r>
    </w:p>
    <w:p>
      <w:pPr>
        <w:pStyle w:val="FirstParagraph"/>
      </w:pPr>
      <w:r>
        <w:rPr>
          <w:b/>
          <w:bCs/>
        </w:rPr>
        <w:t xml:space="preserve">Verdal Group</w:t>
      </w:r>
      <w:r>
        <w:t xml:space="preserve"> </w:t>
      </w:r>
      <w:r>
        <w:t xml:space="preserve">· Issued 15 July 2026</w:t>
      </w:r>
    </w:p>
    <w:bookmarkStart w:id="9" w:name="about-us"/>
    <w:p>
      <w:pPr>
        <w:pStyle w:val="Heading2"/>
      </w:pPr>
      <w:r>
        <w:t xml:space="preserve">1. About us</w:t>
      </w:r>
    </w:p>
    <w:p>
      <w:pPr>
        <w:pStyle w:val="FirstParagraph"/>
      </w:pPr>
      <w:r>
        <w:t xml:space="preserve">Verdal Group operates</w:t>
      </w:r>
      <w:r>
        <w:t xml:space="preserve"> </w:t>
      </w:r>
      <w:r>
        <w:rPr>
          <w:b/>
          <w:bCs/>
        </w:rPr>
        <w:t xml:space="preserve">1,100 supermarkets</w:t>
      </w:r>
      <w:r>
        <w:t xml:space="preserve"> </w:t>
      </w:r>
      <w:r>
        <w:t xml:space="preserve">across six European countries. Most sites have large</w:t>
      </w:r>
      <w:r>
        <w:t xml:space="preserve"> </w:t>
      </w:r>
      <w:r>
        <w:t xml:space="preserve">customer car parks.</w:t>
      </w:r>
    </w:p>
    <w:bookmarkEnd w:id="9"/>
    <w:bookmarkStart w:id="10" w:name="background"/>
    <w:p>
      <w:pPr>
        <w:pStyle w:val="Heading2"/>
      </w:pPr>
      <w:r>
        <w:t xml:space="preserve">2. Background</w:t>
      </w:r>
    </w:p>
    <w:p>
      <w:pPr>
        <w:pStyle w:val="FirstParagraph"/>
      </w:pPr>
      <w:r>
        <w:t xml:space="preserve">Customers increasingly expect charging at our stores. Today we lease parking space to two charging</w:t>
      </w:r>
      <w:r>
        <w:t xml:space="preserve"> </w:t>
      </w:r>
      <w:r>
        <w:t xml:space="preserve">operators under long-term agreements and earn a nominal fee. The Board believes we are leaving value on</w:t>
      </w:r>
      <w:r>
        <w:t xml:space="preserve"> </w:t>
      </w:r>
      <w:r>
        <w:t xml:space="preserve">the table and has asked management to assess bringing charging in-house.</w:t>
      </w:r>
    </w:p>
    <w:p>
      <w:pPr>
        <w:pStyle w:val="BodyText"/>
      </w:pPr>
      <w:r>
        <w:t xml:space="preserve">A Board paper circulated in June states that</w:t>
      </w:r>
      <w:r>
        <w:t xml:space="preserve"> </w:t>
      </w:r>
      <w:r>
        <w:rPr>
          <w:b/>
          <w:bCs/>
        </w:rPr>
        <w:t xml:space="preserve">the European EV charging market will be worth €25bn by</w:t>
      </w:r>
      <w:r>
        <w:rPr>
          <w:b/>
          <w:bCs/>
        </w:rPr>
        <w:t xml:space="preserve"> </w:t>
      </w:r>
      <w:r>
        <w:rPr>
          <w:b/>
          <w:bCs/>
        </w:rPr>
        <w:t xml:space="preserve">2030</w:t>
      </w:r>
      <w:r>
        <w:t xml:space="preserve">. We would like this figure tested before any commitment is made.</w:t>
      </w:r>
    </w:p>
    <w:bookmarkEnd w:id="10"/>
    <w:bookmarkStart w:id="11" w:name="objective"/>
    <w:p>
      <w:pPr>
        <w:pStyle w:val="Heading2"/>
      </w:pPr>
      <w:r>
        <w:t xml:space="preserve">3. Objective</w:t>
      </w:r>
    </w:p>
    <w:p>
      <w:pPr>
        <w:pStyle w:val="FirstParagraph"/>
      </w:pPr>
      <w:r>
        <w:t xml:space="preserve">An independent, defensible view of whether Verdal should operate charging itself — and if so, where and</w:t>
      </w:r>
      <w:r>
        <w:t xml:space="preserve"> </w:t>
      </w:r>
      <w:r>
        <w:t xml:space="preserve">how.</w:t>
      </w:r>
    </w:p>
    <w:bookmarkEnd w:id="11"/>
    <w:bookmarkStart w:id="12" w:name="scope-work-packages"/>
    <w:p>
      <w:pPr>
        <w:pStyle w:val="Heading2"/>
      </w:pPr>
      <w:r>
        <w:t xml:space="preserve">4. Scope — work packages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Work package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WP1 Market</w:t>
            </w:r>
          </w:p>
        </w:tc>
        <w:tc>
          <w:tcPr/>
          <w:p>
            <w:pPr>
              <w:pStyle w:val="Compact"/>
            </w:pPr>
            <w:r>
              <w:t xml:space="preserve">Size the opportunity genuinely addressable by Verdal. Test the €25bn Board figure.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WP2 Segment</w:t>
            </w:r>
          </w:p>
        </w:tc>
        <w:tc>
          <w:tcPr/>
          <w:p>
            <w:pPr>
              <w:pStyle w:val="Compact"/>
            </w:pPr>
            <w:r>
              <w:t xml:space="preserve">Fast, ultra-fast or destination charging — which fits our footprint and our customer dwell time?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WP3 Geography</w:t>
            </w:r>
          </w:p>
        </w:tc>
        <w:tc>
          <w:tcPr/>
          <w:p>
            <w:pPr>
              <w:pStyle w:val="Compact"/>
            </w:pPr>
            <w:r>
              <w:t xml:space="preserve">Which of our six countries first, and why.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WP4 Competition</w:t>
            </w:r>
          </w:p>
        </w:tc>
        <w:tc>
          <w:tcPr/>
          <w:p>
            <w:pPr>
              <w:pStyle w:val="Compact"/>
            </w:pPr>
            <w:r>
              <w:t xml:space="preserve">Who operates today, and what economics do they actually achieve.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WP5 Entry mode</w:t>
            </w:r>
          </w:p>
        </w:tc>
        <w:tc>
          <w:tcPr/>
          <w:p>
            <w:pPr>
              <w:pStyle w:val="Compact"/>
            </w:pPr>
            <w:r>
              <w:t xml:space="preserve">Build, buy or partner — with candidate profiles and a recommendation.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WP6 Plan</w:t>
            </w:r>
          </w:p>
        </w:tc>
        <w:tc>
          <w:tcPr/>
          <w:p>
            <w:pPr>
              <w:pStyle w:val="Compact"/>
            </w:pPr>
            <w:r>
              <w:t xml:space="preserve">A 100-day plan for the recommended route.</w:t>
            </w:r>
          </w:p>
        </w:tc>
      </w:tr>
    </w:tbl>
    <w:bookmarkEnd w:id="12"/>
    <w:bookmarkStart w:id="13" w:name="information-available-to-the-adviser"/>
    <w:p>
      <w:pPr>
        <w:pStyle w:val="Heading2"/>
      </w:pPr>
      <w:r>
        <w:t xml:space="preserve">5. Information available to the adviser</w:t>
      </w:r>
    </w:p>
    <w:p>
      <w:pPr>
        <w:pStyle w:val="Compact"/>
        <w:numPr>
          <w:ilvl w:val="0"/>
          <w:numId w:val="1001"/>
        </w:numPr>
      </w:pPr>
      <w:r>
        <w:t xml:space="preserve">Store list by country, with car park capacity</w:t>
      </w:r>
    </w:p>
    <w:p>
      <w:pPr>
        <w:pStyle w:val="Compact"/>
        <w:numPr>
          <w:ilvl w:val="0"/>
          <w:numId w:val="1001"/>
        </w:numPr>
      </w:pPr>
      <w:r>
        <w:t xml:space="preserve">Current lease terms with both charging operators</w:t>
      </w:r>
    </w:p>
    <w:p>
      <w:pPr>
        <w:pStyle w:val="Compact"/>
        <w:numPr>
          <w:ilvl w:val="0"/>
          <w:numId w:val="1001"/>
        </w:numPr>
      </w:pPr>
      <w:r>
        <w:t xml:space="preserve">Energy procurement contracts (summary)</w:t>
      </w:r>
    </w:p>
    <w:p>
      <w:pPr>
        <w:pStyle w:val="FirstParagraph"/>
      </w:pPr>
      <w:r>
        <w:rPr>
          <w:i/>
          <w:iCs/>
        </w:rPr>
        <w:t xml:space="preserve">No customer research has been conducted.</w:t>
      </w:r>
    </w:p>
    <w:bookmarkEnd w:id="13"/>
    <w:bookmarkStart w:id="14" w:name="deliverables"/>
    <w:p>
      <w:pPr>
        <w:pStyle w:val="Heading2"/>
      </w:pPr>
      <w:r>
        <w:t xml:space="preserve">6. Deliverables</w:t>
      </w:r>
    </w:p>
    <w:p>
      <w:pPr>
        <w:pStyle w:val="Compact"/>
        <w:numPr>
          <w:ilvl w:val="0"/>
          <w:numId w:val="1002"/>
        </w:numPr>
      </w:pPr>
      <w:r>
        <w:t xml:space="preserve">Board-ready deck</w:t>
      </w:r>
    </w:p>
    <w:p>
      <w:pPr>
        <w:pStyle w:val="Compact"/>
        <w:numPr>
          <w:ilvl w:val="0"/>
          <w:numId w:val="1002"/>
        </w:numPr>
      </w:pPr>
      <w:r>
        <w:t xml:space="preserve">Excel model, assumptions visible and editable</w:t>
      </w:r>
    </w:p>
    <w:p>
      <w:pPr>
        <w:pStyle w:val="Compact"/>
        <w:numPr>
          <w:ilvl w:val="0"/>
          <w:numId w:val="1002"/>
        </w:numPr>
      </w:pPr>
      <w:r>
        <w:t xml:space="preserve">One-page recommendation</w:t>
      </w:r>
    </w:p>
    <w:bookmarkEnd w:id="14"/>
    <w:bookmarkStart w:id="15" w:name="timeline"/>
    <w:p>
      <w:pPr>
        <w:pStyle w:val="Heading2"/>
      </w:pPr>
      <w:r>
        <w:t xml:space="preserve">7. Timeline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Proposal due</w:t>
            </w:r>
          </w:p>
        </w:tc>
        <w:tc>
          <w:tcPr/>
          <w:p>
            <w:pPr>
              <w:pStyle w:val="Compact"/>
            </w:pPr>
            <w:r>
              <w:t xml:space="preserve">29 July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Kick-off</w:t>
            </w:r>
          </w:p>
        </w:tc>
        <w:tc>
          <w:tcPr/>
          <w:p>
            <w:pPr>
              <w:pStyle w:val="Compact"/>
            </w:pPr>
            <w:r>
              <w:t xml:space="preserve">4 August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Interim review</w:t>
            </w:r>
          </w:p>
        </w:tc>
        <w:tc>
          <w:tcPr/>
          <w:p>
            <w:pPr>
              <w:pStyle w:val="Compact"/>
            </w:pPr>
            <w:r>
              <w:t xml:space="preserve">8 September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Final delivery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30 September 2026</w:t>
            </w:r>
          </w:p>
        </w:tc>
      </w:tr>
    </w:tbl>
    <w:bookmarkEnd w:id="15"/>
    <w:bookmarkStart w:id="16" w:name="evaluation"/>
    <w:p>
      <w:pPr>
        <w:pStyle w:val="Heading2"/>
      </w:pPr>
      <w:r>
        <w:t xml:space="preserve">8. Evaluation</w:t>
      </w:r>
    </w:p>
    <w:p>
      <w:pPr>
        <w:pStyle w:val="FirstParagraph"/>
      </w:pPr>
      <w:r>
        <w:t xml:space="preserve">Quality of reasoning and transparency of assumptions will weigh more than volume of output.</w:t>
      </w:r>
      <w:r>
        <w:t xml:space="preserve"> </w:t>
      </w:r>
      <w:r>
        <w:rPr>
          <w:b/>
          <w:bCs/>
        </w:rPr>
        <w:t xml:space="preserve">We will favour advisers who tell us where the data is weak.</w:t>
      </w:r>
    </w:p>
    <w:bookmarkEnd w:id="16"/>
    <w:bookmarkStart w:id="17" w:name="contact"/>
    <w:p>
      <w:pPr>
        <w:pStyle w:val="Heading2"/>
      </w:pPr>
      <w:r>
        <w:t xml:space="preserve">9. Contact</w:t>
      </w:r>
    </w:p>
    <w:p>
      <w:pPr>
        <w:pStyle w:val="FirstParagraph"/>
      </w:pPr>
      <w:r>
        <w:t xml:space="preserve">Katrin Sommer, VP Strategy — k.sommer@verdalgroup.eu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2026-07-26T16:11:16Z</dcterms:created>
  <dcterms:modified xsi:type="dcterms:W3CDTF">2026-07-26T16:11:16Z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