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X7cfdae58ca0fa867a7d8465081f0b1b11363350"/>
    <w:p>
      <w:pPr>
        <w:pStyle w:val="Heading1"/>
      </w:pPr>
      <w:r>
        <w:t xml:space="preserve">REQUEST FOR PROPOSAL — Commercial Due Diligence</w:t>
      </w:r>
    </w:p>
    <w:p>
      <w:pPr>
        <w:pStyle w:val="FirstParagraph"/>
      </w:pPr>
      <w:r>
        <w:rPr>
          <w:b/>
          <w:bCs/>
        </w:rPr>
        <w:t xml:space="preserve">Kestrel Ridge Partners</w:t>
      </w:r>
      <w:r>
        <w:t xml:space="preserve"> </w:t>
      </w:r>
      <w:r>
        <w:t xml:space="preserve">· Project Paws · Issued 26 July 2026</w:t>
      </w:r>
    </w:p>
    <w:bookmarkStart w:id="9" w:name="about-the-sponsor"/>
    <w:p>
      <w:pPr>
        <w:pStyle w:val="Heading2"/>
      </w:pPr>
      <w:r>
        <w:t xml:space="preserve">1. About the sponsor</w:t>
      </w:r>
    </w:p>
    <w:p>
      <w:pPr>
        <w:pStyle w:val="FirstParagraph"/>
      </w:pPr>
      <w:r>
        <w:t xml:space="preserve">Kestrel Ridge Partners is a lower-middle-market private equity firm ($650M AUM) investing in healthcare</w:t>
      </w:r>
      <w:r>
        <w:t xml:space="preserve"> </w:t>
      </w:r>
      <w:r>
        <w:t xml:space="preserve">and consumer services in the United States.</w:t>
      </w:r>
    </w:p>
    <w:bookmarkEnd w:id="9"/>
    <w:bookmarkStart w:id="10" w:name="the-opportunity"/>
    <w:p>
      <w:pPr>
        <w:pStyle w:val="Heading2"/>
      </w:pPr>
      <w:r>
        <w:t xml:space="preserve">2. The opportunity</w:t>
      </w:r>
    </w:p>
    <w:p>
      <w:pPr>
        <w:pStyle w:val="FirstParagraph"/>
      </w:pPr>
      <w:r>
        <w:t xml:space="preserve">We are in exclusivity on a group of</w:t>
      </w:r>
      <w:r>
        <w:t xml:space="preserve"> </w:t>
      </w:r>
      <w:r>
        <w:rPr>
          <w:b/>
          <w:bCs/>
        </w:rPr>
        <w:t xml:space="preserve">42 veterinary clinics</w:t>
      </w:r>
      <w:r>
        <w:t xml:space="preserve"> </w:t>
      </w:r>
      <w:r>
        <w:t xml:space="preserve">across the US Southeast, approximately</w:t>
      </w:r>
      <w:r>
        <w:t xml:space="preserve"> </w:t>
      </w:r>
      <w:r>
        <w:t xml:space="preserve">$120M revenue. The business is founder-owned and has been built by acquiring independent practices one at</w:t>
      </w:r>
      <w:r>
        <w:t xml:space="preserve"> </w:t>
      </w:r>
      <w:r>
        <w:t xml:space="preserve">a time over eight years.</w:t>
      </w:r>
    </w:p>
    <w:bookmarkEnd w:id="10"/>
    <w:bookmarkStart w:id="11" w:name="objective"/>
    <w:p>
      <w:pPr>
        <w:pStyle w:val="Heading2"/>
      </w:pPr>
      <w:r>
        <w:t xml:space="preserve">3. Objective</w:t>
      </w:r>
    </w:p>
    <w:p>
      <w:pPr>
        <w:pStyle w:val="FirstParagraph"/>
      </w:pPr>
      <w:r>
        <w:t xml:space="preserve">An independent commercial view to support our Investment Committee on</w:t>
      </w:r>
      <w:r>
        <w:t xml:space="preserve"> </w:t>
      </w:r>
      <w:r>
        <w:rPr>
          <w:b/>
          <w:bCs/>
        </w:rPr>
        <w:t xml:space="preserve">21 August 2026</w:t>
      </w:r>
      <w:r>
        <w:t xml:space="preserve">.</w:t>
      </w:r>
    </w:p>
    <w:bookmarkEnd w:id="11"/>
    <w:bookmarkStart w:id="12" w:name="scope-questions-to-answer"/>
    <w:p>
      <w:pPr>
        <w:pStyle w:val="Heading2"/>
      </w:pPr>
      <w:r>
        <w:t xml:space="preserve">4. Scope — questions to answer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Question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Q1 Market</w:t>
            </w:r>
          </w:p>
        </w:tc>
        <w:tc>
          <w:tcPr/>
          <w:p>
            <w:pPr>
              <w:pStyle w:val="Compact"/>
            </w:pPr>
            <w:r>
              <w:t xml:space="preserve">Is pet-care spending still growing, or was the pandemic surge a one-off?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Q2 Retention</w:t>
            </w:r>
          </w:p>
        </w:tc>
        <w:tc>
          <w:tcPr/>
          <w:p>
            <w:pPr>
              <w:pStyle w:val="Compact"/>
            </w:pPr>
            <w:r>
              <w:t xml:space="preserve">How loyal are pet owners when a practice changes hands and the veterinarian they knew leaves?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Q3 Competition</w:t>
            </w:r>
          </w:p>
        </w:tc>
        <w:tc>
          <w:tcPr/>
          <w:p>
            <w:pPr>
              <w:pStyle w:val="Compact"/>
            </w:pPr>
            <w:r>
              <w:t xml:space="preserve">What is the threat from the large consolidated chains and corporate owners?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Q4 Runway</w:t>
            </w:r>
          </w:p>
        </w:tc>
        <w:tc>
          <w:tcPr/>
          <w:p>
            <w:pPr>
              <w:pStyle w:val="Compact"/>
            </w:pPr>
            <w:r>
              <w:t xml:space="preserve">Is there still runway to acquire independent practices at the prices being paid today?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Q5 Thesis</w:t>
            </w:r>
          </w:p>
        </w:tc>
        <w:tc>
          <w:tcPr/>
          <w:p>
            <w:pPr>
              <w:pStyle w:val="Compact"/>
            </w:pPr>
            <w:r>
              <w:t xml:space="preserve">A view on the seller’s stated 6–8% organic growth.</w:t>
            </w:r>
          </w:p>
        </w:tc>
      </w:tr>
    </w:tbl>
    <w:bookmarkEnd w:id="12"/>
    <w:bookmarkStart w:id="13" w:name="information-available-to-the-adviser"/>
    <w:p>
      <w:pPr>
        <w:pStyle w:val="Heading2"/>
      </w:pPr>
      <w:r>
        <w:t xml:space="preserve">5. Information available to the adviser</w:t>
      </w:r>
    </w:p>
    <w:p>
      <w:pPr>
        <w:pStyle w:val="Compact"/>
        <w:numPr>
          <w:ilvl w:val="0"/>
          <w:numId w:val="1001"/>
        </w:numPr>
      </w:pPr>
      <w:r>
        <w:t xml:space="preserve">Financials by clinic, three years</w:t>
      </w:r>
    </w:p>
    <w:p>
      <w:pPr>
        <w:pStyle w:val="Compact"/>
        <w:numPr>
          <w:ilvl w:val="0"/>
          <w:numId w:val="1001"/>
        </w:numPr>
      </w:pPr>
      <w:r>
        <w:t xml:space="preserve">Anonymised client list</w:t>
      </w:r>
    </w:p>
    <w:p>
      <w:pPr>
        <w:pStyle w:val="Compact"/>
        <w:numPr>
          <w:ilvl w:val="0"/>
          <w:numId w:val="1001"/>
        </w:numPr>
      </w:pPr>
      <w:r>
        <w:t xml:space="preserve">Seller’s information memorandum</w:t>
      </w:r>
    </w:p>
    <w:p>
      <w:pPr>
        <w:pStyle w:val="FirstParagraph"/>
      </w:pPr>
      <w:r>
        <w:rPr>
          <w:i/>
          <w:iCs/>
        </w:rPr>
        <w:t xml:space="preserve">No customer or client interviews have been conducted to date.</w:t>
      </w:r>
    </w:p>
    <w:bookmarkEnd w:id="13"/>
    <w:bookmarkStart w:id="14" w:name="deliverables"/>
    <w:p>
      <w:pPr>
        <w:pStyle w:val="Heading2"/>
      </w:pPr>
      <w:r>
        <w:t xml:space="preserve">6. Deliverables</w:t>
      </w:r>
    </w:p>
    <w:p>
      <w:pPr>
        <w:pStyle w:val="Compact"/>
        <w:numPr>
          <w:ilvl w:val="0"/>
          <w:numId w:val="1002"/>
        </w:numPr>
      </w:pPr>
      <w:r>
        <w:t xml:space="preserve">20–25 page deck, IC-ready</w:t>
      </w:r>
    </w:p>
    <w:p>
      <w:pPr>
        <w:pStyle w:val="Compact"/>
        <w:numPr>
          <w:ilvl w:val="0"/>
          <w:numId w:val="1002"/>
        </w:numPr>
      </w:pPr>
      <w:r>
        <w:t xml:space="preserve">Supporting model</w:t>
      </w:r>
    </w:p>
    <w:p>
      <w:pPr>
        <w:pStyle w:val="Compact"/>
        <w:numPr>
          <w:ilvl w:val="0"/>
          <w:numId w:val="1002"/>
        </w:numPr>
      </w:pPr>
      <w:r>
        <w:t xml:space="preserve">Verbal readout to the deal team</w:t>
      </w:r>
    </w:p>
    <w:bookmarkEnd w:id="14"/>
    <w:bookmarkStart w:id="15" w:name="timeline"/>
    <w:p>
      <w:pPr>
        <w:pStyle w:val="Heading2"/>
      </w:pPr>
      <w:r>
        <w:t xml:space="preserve">7. Timeline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Proposal due</w:t>
            </w:r>
          </w:p>
        </w:tc>
        <w:tc>
          <w:tcPr/>
          <w:p>
            <w:pPr>
              <w:pStyle w:val="Compact"/>
            </w:pPr>
            <w:r>
              <w:t xml:space="preserve">Wednesday 29 July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Work start</w:t>
            </w:r>
          </w:p>
        </w:tc>
        <w:tc>
          <w:tcPr/>
          <w:p>
            <w:pPr>
              <w:pStyle w:val="Compact"/>
            </w:pPr>
            <w:r>
              <w:t xml:space="preserve">Monday 3 August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Draft readout</w:t>
            </w:r>
          </w:p>
        </w:tc>
        <w:tc>
          <w:tcPr/>
          <w:p>
            <w:pPr>
              <w:pStyle w:val="Compact"/>
            </w:pPr>
            <w:r>
              <w:t xml:space="preserve">18 August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Investment Committee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21 August</w:t>
            </w:r>
          </w:p>
        </w:tc>
      </w:tr>
    </w:tbl>
    <w:bookmarkEnd w:id="15"/>
    <w:bookmarkStart w:id="16" w:name="indicative-budget"/>
    <w:p>
      <w:pPr>
        <w:pStyle w:val="Heading2"/>
      </w:pPr>
      <w:r>
        <w:t xml:space="preserve">8. Indicative budget</w:t>
      </w:r>
    </w:p>
    <w:p>
      <w:pPr>
        <w:pStyle w:val="FirstParagraph"/>
      </w:pPr>
      <w:r>
        <w:t xml:space="preserve">$55,000–75,000.</w:t>
      </w:r>
    </w:p>
    <w:bookmarkEnd w:id="16"/>
    <w:bookmarkStart w:id="17" w:name="what-the-proposal-should-contain"/>
    <w:p>
      <w:pPr>
        <w:pStyle w:val="Heading2"/>
      </w:pPr>
      <w:r>
        <w:t xml:space="preserve">9. What the proposal should contain</w:t>
      </w:r>
    </w:p>
    <w:p>
      <w:pPr>
        <w:pStyle w:val="FirstParagraph"/>
      </w:pPr>
      <w:r>
        <w:t xml:space="preserve">Approach and workplan · team and relevant experience · what you need from us · assumptions and risks ·</w:t>
      </w:r>
      <w:r>
        <w:t xml:space="preserve"> </w:t>
      </w:r>
      <w:r>
        <w:t xml:space="preserve">fees and terms.</w:t>
      </w:r>
    </w:p>
    <w:bookmarkEnd w:id="17"/>
    <w:bookmarkStart w:id="18" w:name="contact"/>
    <w:p>
      <w:pPr>
        <w:pStyle w:val="Heading2"/>
      </w:pPr>
      <w:r>
        <w:t xml:space="preserve">10. Contact</w:t>
      </w:r>
    </w:p>
    <w:p>
      <w:pPr>
        <w:pStyle w:val="FirstParagraph"/>
      </w:pPr>
      <w:r>
        <w:t xml:space="preserve">Dana Whitfield, Partner — d.whitfield@kestrelridge.com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2026-07-26T16:11:16Z</dcterms:created>
  <dcterms:modified xsi:type="dcterms:W3CDTF">2026-07-26T16:11:16Z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